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44FD" w14:textId="77777777" w:rsidR="00CD151F" w:rsidRPr="00CD151F" w:rsidRDefault="00CD151F" w:rsidP="00CD151F"/>
    <w:p w14:paraId="05BC463A" w14:textId="4CC2CB6A" w:rsidR="00CD151F" w:rsidRPr="00CD151F" w:rsidRDefault="00CD151F" w:rsidP="00CD151F">
      <w:pPr>
        <w:jc w:val="center"/>
        <w:rPr>
          <w:b/>
          <w:u w:val="single"/>
        </w:rPr>
      </w:pPr>
      <w:r w:rsidRPr="00CD151F">
        <w:rPr>
          <w:noProof/>
        </w:rPr>
        <mc:AlternateContent>
          <mc:Choice Requires="wps">
            <w:drawing>
              <wp:anchor distT="4294967295" distB="4294967295" distL="114300" distR="114300" simplePos="0" relativeHeight="251660288" behindDoc="0" locked="0" layoutInCell="1" allowOverlap="1" wp14:anchorId="6DAC3512" wp14:editId="6668CA0B">
                <wp:simplePos x="0" y="0"/>
                <wp:positionH relativeFrom="column">
                  <wp:posOffset>-104775</wp:posOffset>
                </wp:positionH>
                <wp:positionV relativeFrom="paragraph">
                  <wp:posOffset>581025</wp:posOffset>
                </wp:positionV>
                <wp:extent cx="6257925" cy="0"/>
                <wp:effectExtent l="0" t="0" r="0" b="0"/>
                <wp:wrapNone/>
                <wp:docPr id="164759955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BE32E3"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45.75pt" to="484.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gixAEAAIMDAAAOAAAAZHJzL2Uyb0RvYy54bWysU8tu2zAQvBfoPxC815KNOo0FywEaw72k&#10;bYC0H7DmQyLCF7isJf99Scpy0vZW5EKQ+5idHY22d6PR5CQCKmdbulzUlAjLHFe2a+nPH4cPt5Rg&#10;BMtBOytaehZI73bv320H34iV653mIpAEYrEZfEv7GH1TVch6YQAXzgubktIFAzE9Q1fxAENCN7pa&#10;1fVNNbjAfXBMIKbofkrSXcGXUrD4XUoUkeiWJm6xnKGcx3xWuy00XQDfK3ahAf/BwoCyaegVag8R&#10;yK+g/oEyigWHTsYFc6ZyUiomyg5pm2X91zZPPXhRdknioL/KhG8Hy76d7u1jyNTZaJ/8g2PPmESp&#10;Bo/NNZkf6KeyUQaTyxN3MhYhz1chxRgJS8Gb1frTZrWmhM25Cpq50QeMX4QzJF9aqpXNO0IDpweM&#10;eTQ0c0kOW3dQWpfvpC0ZWrpZF2RIbpEaYhpiPG8p2o4S0F2yIYuhIKLTiufujIOhO97rQE6QrPDx&#10;cLv8vJ+KeuBiim7WdX2xBEL86vgUXtZzPFG7wBSaf+BnznvAfuopqeyu1KJtni+KGy8rvgiab0fH&#10;z49hVj196dJ2cWW20ut3ur/+d3a/AQAA//8DAFBLAwQUAAYACAAAACEAEPLxYOAAAAAJAQAADwAA&#10;AGRycy9kb3ducmV2LnhtbEyPQU/CQBCF7yb+h82YeINtTai0dkuUBOLFRMBwXrpDW+zONt0Fan+9&#10;YzzoaTLzXt58L18MthUX7H3jSEE8jUAglc40VCn42K0mcxA+aDK6dYQKvtDDori9yXVm3JU2eNmG&#10;SnAI+UwrqEPoMil9WaPVfuo6JNaOrrc68NpX0vT6yuG2lQ9RlEirG+IPte5wWWP5uT1bBaOZL99f&#10;6/X49rJ/HGeV363W+5NS93fD8xOIgEP4M8MPPqNDwUwHdybjRatgEicztipIY55sSJOUyx1+D7LI&#10;5f8GxTcAAAD//wMAUEsBAi0AFAAGAAgAAAAhALaDOJL+AAAA4QEAABMAAAAAAAAAAAAAAAAAAAAA&#10;AFtDb250ZW50X1R5cGVzXS54bWxQSwECLQAUAAYACAAAACEAOP0h/9YAAACUAQAACwAAAAAAAAAA&#10;AAAAAAAvAQAAX3JlbHMvLnJlbHNQSwECLQAUAAYACAAAACEAMRPIIsQBAACDAwAADgAAAAAAAAAA&#10;AAAAAAAuAgAAZHJzL2Uyb0RvYy54bWxQSwECLQAUAAYACAAAACEAEPLxYOAAAAAJAQAADwAAAAAA&#10;AAAAAAAAAAAeBAAAZHJzL2Rvd25yZXYueG1sUEsFBgAAAAAEAAQA8wAAACsFAAAAAA==&#10;" strokecolor="#4a7ebb">
                <o:lock v:ext="edit" shapetype="f"/>
              </v:line>
            </w:pict>
          </mc:Fallback>
        </mc:AlternateContent>
      </w:r>
      <w:r w:rsidRPr="00CD151F">
        <w:rPr>
          <w:noProof/>
        </w:rPr>
        <mc:AlternateContent>
          <mc:Choice Requires="wps">
            <w:drawing>
              <wp:anchor distT="4294967295" distB="4294967295" distL="114300" distR="114300" simplePos="0" relativeHeight="251659264" behindDoc="0" locked="0" layoutInCell="1" allowOverlap="1" wp14:anchorId="027CD613" wp14:editId="40B191D7">
                <wp:simplePos x="0" y="0"/>
                <wp:positionH relativeFrom="column">
                  <wp:posOffset>-104775</wp:posOffset>
                </wp:positionH>
                <wp:positionV relativeFrom="paragraph">
                  <wp:posOffset>-152400</wp:posOffset>
                </wp:positionV>
                <wp:extent cx="6257925" cy="0"/>
                <wp:effectExtent l="0" t="0" r="0" b="0"/>
                <wp:wrapNone/>
                <wp:docPr id="15986628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089AF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2pt" to="4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11qQEAALADAAAOAAAAZHJzL2Uyb0RvYy54bWysU8Fu1DAQvSPxD5bvrLMrtUC02R5awaWC&#10;itIPmDrjjYXtsWyzyf49trMJCJAQiIsVe96befNmsr+ZrGEnDFGT6/h203CGTlKv3bHjT5/fvXrD&#10;WUzgejDksONnjPzm8PLFfvQt7mgg02NgOYmL7eg7PqTkWyGiHNBC3JBHl4OKgoWUr+Eo+gBjzm6N&#10;2DXNtRgp9D6QxBjz690c5IeaXymU6aNSERMzHc/aUj1DPZ/LKQ57aI8B/KDlRQb8gwoL2uWia6o7&#10;SMC+Bv1LKqtloEgqbSRZQUppibWH3M22+ambxwE81l6yOdGvNsX/l1Z+ON26h1Cky8k9+nuSX2I2&#10;RYw+tmuwXKKfYZMKtsCzdjZVI8+rkTglJvPj9e7q9dvdFWdyiQloF6IPMb1Hsqx8dNxoV3qEFk73&#10;MZXS0C6Qi465dBWRzgYL2LhPqJjuc7FtZdeNwVsT2AnyrEFKdGlb5pvzVXShKW3MSmz+TLzgCxXr&#10;Nv0NeWXUyuTSSrbaUfhd9TQtktWMXxyY+y4WPFN/fgjLiPJa1A4vK1z27sd7pX//0Q7fAAAA//8D&#10;AFBLAwQUAAYACAAAACEAIzYyJt8AAAALAQAADwAAAGRycy9kb3ducmV2LnhtbEyP3UrDQBCF7wXf&#10;YRnBu3bTosHEbEop/qBV1OoDTLPTbGh2N2S3aXz7jiDo3ZmZw5nvFIvRtmKgPjTeKZhNExDkKq8b&#10;Vyv4+ryf3IAIEZ3G1jtS8E0BFuX5WYG59kf3QcMm1oJDXMhRgYmxy6UMlSGLYeo7cnzb+d5i5LGv&#10;pe7xyOG2lfMkSaXFxvEHgx2tDFX7zcEqWC3vHl6f6BH3a8ze189mqHcvb0pdXozLWxCRxvhnhh98&#10;RoeSmbb+4HQQrYLJLL1mK4v5FZdiR5ZmLLa/G1kW8n+H8gQAAP//AwBQSwECLQAUAAYACAAAACEA&#10;toM4kv4AAADhAQAAEwAAAAAAAAAAAAAAAAAAAAAAW0NvbnRlbnRfVHlwZXNdLnhtbFBLAQItABQA&#10;BgAIAAAAIQA4/SH/1gAAAJQBAAALAAAAAAAAAAAAAAAAAC8BAABfcmVscy8ucmVsc1BLAQItABQA&#10;BgAIAAAAIQAFng11qQEAALADAAAOAAAAAAAAAAAAAAAAAC4CAABkcnMvZTJvRG9jLnhtbFBLAQIt&#10;ABQABgAIAAAAIQAjNjIm3wAAAAsBAAAPAAAAAAAAAAAAAAAAAAMEAABkcnMvZG93bnJldi54bWxQ&#10;SwUGAAAAAAQABADzAAAADwUAAAAA&#10;" strokecolor="#156082 [3204]" strokeweight="1pt">
                <v:stroke joinstyle="miter"/>
                <o:lock v:ext="edit" shapetype="f"/>
              </v:line>
            </w:pict>
          </mc:Fallback>
        </mc:AlternateContent>
      </w:r>
      <w:r w:rsidRPr="00CD151F">
        <w:rPr>
          <w:b/>
        </w:rPr>
        <w:t>Summary of Content Changes</w:t>
      </w:r>
      <w:r w:rsidRPr="00CD151F">
        <w:rPr>
          <w:b/>
        </w:rPr>
        <w:br/>
        <w:t>2025.</w:t>
      </w:r>
      <w:r w:rsidR="00496317">
        <w:rPr>
          <w:b/>
        </w:rPr>
        <w:t>4</w:t>
      </w:r>
      <w:r w:rsidRPr="00CD151F">
        <w:rPr>
          <w:b/>
        </w:rPr>
        <w:t xml:space="preserve"> Update</w:t>
      </w:r>
      <w:r w:rsidR="00F03053">
        <w:rPr>
          <w:b/>
        </w:rPr>
        <w:t xml:space="preserve">: </w:t>
      </w:r>
      <w:r w:rsidR="00496317">
        <w:rPr>
          <w:b/>
        </w:rPr>
        <w:t>November - December</w:t>
      </w:r>
      <w:r w:rsidRPr="00CD151F">
        <w:rPr>
          <w:b/>
        </w:rPr>
        <w:t xml:space="preserve"> 2025</w:t>
      </w:r>
      <w:r w:rsidRPr="00CD151F">
        <w:rPr>
          <w:b/>
        </w:rPr>
        <w:br/>
      </w:r>
    </w:p>
    <w:p w14:paraId="559034E3" w14:textId="365659A0" w:rsidR="007E58EE" w:rsidRDefault="000738C1" w:rsidP="00890A5C">
      <w:r>
        <w:t>This update includes revisions to</w:t>
      </w:r>
      <w:r w:rsidR="00890A5C">
        <w:t xml:space="preserve"> the artificial intelligence policy to keep pace with </w:t>
      </w:r>
      <w:proofErr w:type="gramStart"/>
      <w:r w:rsidR="00890A5C">
        <w:t>technology</w:t>
      </w:r>
      <w:proofErr w:type="gramEnd"/>
      <w:r w:rsidR="00890A5C">
        <w:t xml:space="preserve"> changes.  There was also an update to the collection process policy</w:t>
      </w:r>
      <w:r w:rsidR="007E58EE">
        <w:t>, an update to the Elder/Vulnerable Adult Protections policy, and</w:t>
      </w:r>
      <w:r w:rsidR="00FE78D0">
        <w:t xml:space="preserve"> the</w:t>
      </w:r>
      <w:r w:rsidR="007E58EE">
        <w:t xml:space="preserve"> wire transfer policy.</w:t>
      </w:r>
    </w:p>
    <w:p w14:paraId="4607DC15" w14:textId="684ADF84" w:rsidR="005A68ED" w:rsidRDefault="005A68ED" w:rsidP="00890A5C">
      <w:r>
        <w:t xml:space="preserve">Revisions were also made to ACH policies to account for the numerous upcoming </w:t>
      </w:r>
      <w:r w:rsidR="009242F7">
        <w:t xml:space="preserve">amendments to NACHA Operating Rules, including: </w:t>
      </w:r>
      <w:hyperlink r:id="rId5" w:tgtFrame="_blank" w:history="1">
        <w:r w:rsidR="009242F7" w:rsidRPr="009242F7">
          <w:rPr>
            <w:rStyle w:val="Hyperlink"/>
          </w:rPr>
          <w:t>Company Entry Descriptions,</w:t>
        </w:r>
      </w:hyperlink>
      <w:r w:rsidR="009242F7" w:rsidRPr="009242F7">
        <w:t xml:space="preserve"> the </w:t>
      </w:r>
      <w:hyperlink r:id="rId6" w:tgtFrame="_blank" w:history="1">
        <w:r w:rsidR="009242F7" w:rsidRPr="009242F7">
          <w:rPr>
            <w:rStyle w:val="Hyperlink"/>
          </w:rPr>
          <w:t>definition of IAT Entries</w:t>
        </w:r>
      </w:hyperlink>
      <w:r w:rsidR="009242F7" w:rsidRPr="009242F7">
        <w:t xml:space="preserve">, </w:t>
      </w:r>
      <w:hyperlink r:id="rId7" w:tgtFrame="_blank" w:history="1">
        <w:r w:rsidR="009242F7" w:rsidRPr="009242F7">
          <w:rPr>
            <w:rStyle w:val="Hyperlink"/>
          </w:rPr>
          <w:t>funds availability requirements for non-same-day credit entries</w:t>
        </w:r>
      </w:hyperlink>
      <w:r w:rsidR="009242F7" w:rsidRPr="009242F7">
        <w:t xml:space="preserve">, and </w:t>
      </w:r>
      <w:hyperlink r:id="rId8" w:tgtFrame="_blank" w:history="1">
        <w:r w:rsidR="009242F7" w:rsidRPr="009242F7">
          <w:rPr>
            <w:rStyle w:val="Hyperlink"/>
          </w:rPr>
          <w:t>fraud monitoring</w:t>
        </w:r>
      </w:hyperlink>
      <w:r w:rsidR="009242F7" w:rsidRPr="009242F7">
        <w:t>.</w:t>
      </w:r>
    </w:p>
    <w:p w14:paraId="21C2A13D" w14:textId="196336E4" w:rsidR="00AC7576" w:rsidRDefault="00BA5EF1" w:rsidP="00AC7576">
      <w:r>
        <w:t xml:space="preserve">Furthermore, several policies have been updated to reflect the regulatory thresholds effective January 1, 2026. These thresholds are updated each year to account for inflation and are generally based on the annual percentage change in the Consumer Price Index. The revised thresholds that have been published to date are as follows: </w:t>
      </w:r>
    </w:p>
    <w:p w14:paraId="02D6B571" w14:textId="62ADD17B" w:rsidR="00AC7576" w:rsidRDefault="00AC7576" w:rsidP="00AC7576">
      <w:pPr>
        <w:rPr>
          <w:u w:val="single"/>
        </w:rPr>
      </w:pPr>
      <w:hyperlink r:id="rId9" w:history="1">
        <w:r w:rsidRPr="006A6EDC">
          <w:rPr>
            <w:rStyle w:val="Hyperlink"/>
          </w:rPr>
          <w:t>Regulation Z Exemption</w:t>
        </w:r>
      </w:hyperlink>
    </w:p>
    <w:p w14:paraId="01FB5C7D" w14:textId="77777777" w:rsidR="00AC7576" w:rsidRDefault="00AC7576" w:rsidP="00AC7576">
      <w:r>
        <w:t xml:space="preserve">An extension of credit greater than </w:t>
      </w:r>
      <w:r>
        <w:rPr>
          <w:b/>
          <w:bCs/>
        </w:rPr>
        <w:t xml:space="preserve">$73,400 </w:t>
      </w:r>
      <w:r>
        <w:t>is exempt from Regulation Z unless it is:</w:t>
      </w:r>
    </w:p>
    <w:p w14:paraId="2317CFE0" w14:textId="77777777" w:rsidR="00AC7576" w:rsidRDefault="00AC7576" w:rsidP="00AC7576">
      <w:pPr>
        <w:pStyle w:val="ListParagraph"/>
        <w:numPr>
          <w:ilvl w:val="0"/>
          <w:numId w:val="1"/>
        </w:numPr>
        <w:suppressAutoHyphens/>
        <w:autoSpaceDN w:val="0"/>
        <w:spacing w:after="0" w:line="240" w:lineRule="auto"/>
      </w:pPr>
      <w:r>
        <w:t xml:space="preserve">Secured by any real property, or by personal property used by the consumer as his/her principal dwelling, or </w:t>
      </w:r>
    </w:p>
    <w:p w14:paraId="638E9225" w14:textId="77777777" w:rsidR="00AC7576" w:rsidRDefault="00AC7576" w:rsidP="00AC7576">
      <w:pPr>
        <w:pStyle w:val="ListParagraph"/>
        <w:numPr>
          <w:ilvl w:val="0"/>
          <w:numId w:val="1"/>
        </w:numPr>
        <w:suppressAutoHyphens/>
        <w:autoSpaceDN w:val="0"/>
        <w:spacing w:after="0" w:line="240" w:lineRule="auto"/>
      </w:pPr>
      <w:r>
        <w:t xml:space="preserve">A private education loan. </w:t>
      </w:r>
    </w:p>
    <w:p w14:paraId="6F897C77" w14:textId="77777777" w:rsidR="00AC7576" w:rsidRDefault="00AC7576" w:rsidP="00AC7576"/>
    <w:p w14:paraId="0878D812" w14:textId="1BD6BAEF" w:rsidR="00AC7576" w:rsidRDefault="00AC7576" w:rsidP="00AC7576">
      <w:pPr>
        <w:rPr>
          <w:u w:val="single"/>
        </w:rPr>
      </w:pPr>
      <w:hyperlink r:id="rId10" w:history="1">
        <w:r w:rsidRPr="006A6EDC">
          <w:rPr>
            <w:rStyle w:val="Hyperlink"/>
          </w:rPr>
          <w:t>Regulation M Exemption</w:t>
        </w:r>
      </w:hyperlink>
    </w:p>
    <w:p w14:paraId="1F05E150" w14:textId="77777777" w:rsidR="00AC7576" w:rsidRDefault="00AC7576" w:rsidP="00AC7576">
      <w:r>
        <w:t xml:space="preserve">A consumer lease with a total contractual obligation </w:t>
      </w:r>
      <w:proofErr w:type="gramStart"/>
      <w:r>
        <w:t>in excess of</w:t>
      </w:r>
      <w:proofErr w:type="gramEnd"/>
      <w:r>
        <w:t xml:space="preserve"> </w:t>
      </w:r>
      <w:r>
        <w:rPr>
          <w:b/>
          <w:bCs/>
        </w:rPr>
        <w:t xml:space="preserve">$73,400 </w:t>
      </w:r>
      <w:r>
        <w:t xml:space="preserve">is exempt from Regulation M. </w:t>
      </w:r>
    </w:p>
    <w:p w14:paraId="336F0534" w14:textId="1E5E3F3A" w:rsidR="00AC7576" w:rsidRDefault="002650A3" w:rsidP="00AC7576">
      <w:pPr>
        <w:rPr>
          <w:u w:val="single"/>
        </w:rPr>
      </w:pPr>
      <w:r>
        <w:rPr>
          <w:u w:val="single"/>
        </w:rPr>
        <w:br/>
      </w:r>
      <w:hyperlink r:id="rId11" w:history="1">
        <w:r w:rsidR="00AC7576" w:rsidRPr="00093241">
          <w:rPr>
            <w:rStyle w:val="Hyperlink"/>
          </w:rPr>
          <w:t>Fannie Mae/Freddie Mac Conforming Loan Limits</w:t>
        </w:r>
      </w:hyperlink>
    </w:p>
    <w:p w14:paraId="45277A9A" w14:textId="77777777" w:rsidR="00AC7576" w:rsidRDefault="00AC7576" w:rsidP="00AC7576">
      <w:r>
        <w:rPr>
          <w:b/>
          <w:bCs/>
        </w:rPr>
        <w:t>$832,750</w:t>
      </w:r>
    </w:p>
    <w:p w14:paraId="16973034" w14:textId="77777777" w:rsidR="00AC7576" w:rsidRDefault="00AC7576" w:rsidP="00AC7576">
      <w:r>
        <w:rPr>
          <w:b/>
          <w:bCs/>
        </w:rPr>
        <w:t xml:space="preserve">$1,249,125 </w:t>
      </w:r>
      <w:r>
        <w:t>for high-cost areas</w:t>
      </w:r>
    </w:p>
    <w:p w14:paraId="052625E3" w14:textId="77777777" w:rsidR="009E1B8F" w:rsidRDefault="009E1B8F" w:rsidP="00AC7576"/>
    <w:p w14:paraId="276DFD6F" w14:textId="445B7F0E" w:rsidR="00AC7576" w:rsidRDefault="00AC7576" w:rsidP="00AC7576">
      <w:pPr>
        <w:rPr>
          <w:u w:val="single"/>
        </w:rPr>
      </w:pPr>
      <w:hyperlink r:id="rId12" w:history="1">
        <w:r w:rsidRPr="002650A3">
          <w:rPr>
            <w:rStyle w:val="Hyperlink"/>
          </w:rPr>
          <w:t>Qualified Mortgage Pricing</w:t>
        </w:r>
      </w:hyperlink>
    </w:p>
    <w:p w14:paraId="41A0585A" w14:textId="77777777" w:rsidR="00AC7576" w:rsidRDefault="00AC7576" w:rsidP="00AC7576">
      <w:pPr>
        <w:rPr>
          <w:i/>
          <w:iCs/>
        </w:rPr>
      </w:pPr>
      <w:r>
        <w:rPr>
          <w:i/>
          <w:iCs/>
        </w:rPr>
        <w:t>First Lien Loans</w:t>
      </w:r>
    </w:p>
    <w:p w14:paraId="3F6A440B" w14:textId="77777777" w:rsidR="00AC7576" w:rsidRDefault="00AC7576" w:rsidP="00AC7576">
      <w:r>
        <w:lastRenderedPageBreak/>
        <w:t>The APR charged in connection with the transaction does not exceed the value of the APOR index by more than:</w:t>
      </w:r>
    </w:p>
    <w:p w14:paraId="6AC1418B" w14:textId="77777777" w:rsidR="00AC7576" w:rsidRDefault="00AC7576" w:rsidP="00AC7576">
      <w:pPr>
        <w:pStyle w:val="ListParagraph"/>
        <w:numPr>
          <w:ilvl w:val="0"/>
          <w:numId w:val="2"/>
        </w:numPr>
        <w:suppressAutoHyphens/>
        <w:autoSpaceDN w:val="0"/>
        <w:spacing w:after="0" w:line="240" w:lineRule="auto"/>
      </w:pPr>
      <w:r>
        <w:t xml:space="preserve">2.25% for loans greater than or equal to </w:t>
      </w:r>
      <w:r>
        <w:rPr>
          <w:b/>
          <w:bCs/>
        </w:rPr>
        <w:t>$137,958</w:t>
      </w:r>
    </w:p>
    <w:p w14:paraId="12FC72C0" w14:textId="77777777" w:rsidR="00AC7576" w:rsidRDefault="00AC7576" w:rsidP="00AC7576">
      <w:pPr>
        <w:pStyle w:val="ListParagraph"/>
        <w:numPr>
          <w:ilvl w:val="0"/>
          <w:numId w:val="2"/>
        </w:numPr>
        <w:suppressAutoHyphens/>
        <w:autoSpaceDN w:val="0"/>
        <w:spacing w:after="0" w:line="240" w:lineRule="auto"/>
      </w:pPr>
      <w:r>
        <w:t xml:space="preserve">3.50% for loans greater than or equal to </w:t>
      </w:r>
      <w:r>
        <w:rPr>
          <w:b/>
          <w:bCs/>
        </w:rPr>
        <w:t>$82,775</w:t>
      </w:r>
      <w:r>
        <w:t xml:space="preserve"> but less than </w:t>
      </w:r>
      <w:r>
        <w:rPr>
          <w:b/>
          <w:bCs/>
        </w:rPr>
        <w:t>$137,958</w:t>
      </w:r>
    </w:p>
    <w:p w14:paraId="79CAEFE3" w14:textId="77777777" w:rsidR="00AC7576" w:rsidRDefault="00AC7576" w:rsidP="00AC7576">
      <w:pPr>
        <w:pStyle w:val="ListParagraph"/>
        <w:numPr>
          <w:ilvl w:val="0"/>
          <w:numId w:val="2"/>
        </w:numPr>
        <w:suppressAutoHyphens/>
        <w:autoSpaceDN w:val="0"/>
        <w:spacing w:after="0" w:line="240" w:lineRule="auto"/>
      </w:pPr>
      <w:r>
        <w:t xml:space="preserve">6.50% for loans less than </w:t>
      </w:r>
      <w:r>
        <w:rPr>
          <w:b/>
          <w:bCs/>
        </w:rPr>
        <w:t>$82,775</w:t>
      </w:r>
    </w:p>
    <w:p w14:paraId="7961C3E2" w14:textId="77777777" w:rsidR="00AC7576" w:rsidRDefault="00AC7576" w:rsidP="00AC7576"/>
    <w:p w14:paraId="36A4AF03" w14:textId="77777777" w:rsidR="00AC7576" w:rsidRDefault="00AC7576" w:rsidP="00AC7576">
      <w:pPr>
        <w:rPr>
          <w:i/>
          <w:iCs/>
        </w:rPr>
      </w:pPr>
      <w:r>
        <w:rPr>
          <w:i/>
          <w:iCs/>
        </w:rPr>
        <w:t>Subordinate Lien Loans</w:t>
      </w:r>
    </w:p>
    <w:p w14:paraId="66DACDF2" w14:textId="77777777" w:rsidR="00AC7576" w:rsidRDefault="00AC7576" w:rsidP="00AC7576">
      <w:r>
        <w:t>The APR charged in connection with the transaction does not exceed the value of the APOR index by more than:</w:t>
      </w:r>
    </w:p>
    <w:p w14:paraId="731B9E2B" w14:textId="77777777" w:rsidR="00AC7576" w:rsidRDefault="00AC7576" w:rsidP="00AC7576">
      <w:pPr>
        <w:pStyle w:val="ListParagraph"/>
        <w:numPr>
          <w:ilvl w:val="0"/>
          <w:numId w:val="2"/>
        </w:numPr>
        <w:suppressAutoHyphens/>
        <w:autoSpaceDN w:val="0"/>
        <w:spacing w:after="0" w:line="240" w:lineRule="auto"/>
      </w:pPr>
      <w:r>
        <w:t xml:space="preserve">3.50% for loans greater than or equal to </w:t>
      </w:r>
      <w:r>
        <w:rPr>
          <w:b/>
          <w:bCs/>
        </w:rPr>
        <w:t>$82,775</w:t>
      </w:r>
    </w:p>
    <w:p w14:paraId="058FCEFC" w14:textId="77777777" w:rsidR="00AC7576" w:rsidRDefault="00AC7576" w:rsidP="00AC7576">
      <w:pPr>
        <w:pStyle w:val="ListParagraph"/>
        <w:numPr>
          <w:ilvl w:val="0"/>
          <w:numId w:val="2"/>
        </w:numPr>
        <w:suppressAutoHyphens/>
        <w:autoSpaceDN w:val="0"/>
        <w:spacing w:after="0" w:line="240" w:lineRule="auto"/>
      </w:pPr>
      <w:r>
        <w:t xml:space="preserve">6.50% for loans less than </w:t>
      </w:r>
      <w:r>
        <w:rPr>
          <w:b/>
          <w:bCs/>
        </w:rPr>
        <w:t>$82,775</w:t>
      </w:r>
    </w:p>
    <w:p w14:paraId="79045AA8" w14:textId="77777777" w:rsidR="00AC7576" w:rsidRDefault="00AC7576" w:rsidP="00AC7576"/>
    <w:p w14:paraId="3716D951" w14:textId="6FD1191C" w:rsidR="00AC7576" w:rsidRDefault="00AC7576" w:rsidP="00AC7576">
      <w:pPr>
        <w:rPr>
          <w:u w:val="single"/>
        </w:rPr>
      </w:pPr>
      <w:hyperlink r:id="rId13" w:history="1">
        <w:r w:rsidRPr="002650A3">
          <w:rPr>
            <w:rStyle w:val="Hyperlink"/>
          </w:rPr>
          <w:t>Qualified Mortgage Points and Fees</w:t>
        </w:r>
      </w:hyperlink>
    </w:p>
    <w:tbl>
      <w:tblPr>
        <w:tblW w:w="9350" w:type="dxa"/>
        <w:tblCellMar>
          <w:left w:w="10" w:type="dxa"/>
          <w:right w:w="10" w:type="dxa"/>
        </w:tblCellMar>
        <w:tblLook w:val="0000" w:firstRow="0" w:lastRow="0" w:firstColumn="0" w:lastColumn="0" w:noHBand="0" w:noVBand="0"/>
      </w:tblPr>
      <w:tblGrid>
        <w:gridCol w:w="4675"/>
        <w:gridCol w:w="4675"/>
      </w:tblGrid>
      <w:tr w:rsidR="00AC7576" w14:paraId="11EDB7C2" w14:textId="77777777" w:rsidTr="00251389">
        <w:tc>
          <w:tcPr>
            <w:tcW w:w="467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29BBCB1" w14:textId="77777777" w:rsidR="00AC7576" w:rsidRDefault="00AC7576" w:rsidP="00251389">
            <w:r>
              <w:t>Loan Amount</w:t>
            </w:r>
          </w:p>
        </w:tc>
        <w:tc>
          <w:tcPr>
            <w:tcW w:w="467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BA2719F" w14:textId="77777777" w:rsidR="00AC7576" w:rsidRDefault="00AC7576" w:rsidP="00251389">
            <w:pPr>
              <w:jc w:val="right"/>
            </w:pPr>
            <w:r>
              <w:t>Points and Fees Cap</w:t>
            </w:r>
          </w:p>
        </w:tc>
      </w:tr>
      <w:tr w:rsidR="00AC7576" w14:paraId="2FA54556" w14:textId="77777777" w:rsidTr="00251389">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F5388" w14:textId="77777777" w:rsidR="00AC7576" w:rsidRDefault="00AC7576" w:rsidP="00251389">
            <w:r>
              <w:t>&gt;</w:t>
            </w:r>
            <w:r>
              <w:rPr>
                <w:b/>
                <w:bCs/>
              </w:rPr>
              <w:t>$137,958</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4823D" w14:textId="77777777" w:rsidR="00AC7576" w:rsidRDefault="00AC7576" w:rsidP="00251389">
            <w:pPr>
              <w:jc w:val="right"/>
            </w:pPr>
            <w:r>
              <w:t>3% of the loan amount</w:t>
            </w:r>
          </w:p>
        </w:tc>
      </w:tr>
      <w:tr w:rsidR="00AC7576" w14:paraId="4B3717C4" w14:textId="77777777" w:rsidTr="00251389">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D2A6" w14:textId="77777777" w:rsidR="00AC7576" w:rsidRDefault="00AC7576" w:rsidP="00251389">
            <w:r>
              <w:rPr>
                <w:b/>
                <w:bCs/>
              </w:rPr>
              <w:t>$82,775</w:t>
            </w:r>
            <w:r>
              <w:t xml:space="preserve"> to </w:t>
            </w:r>
            <w:r>
              <w:rPr>
                <w:b/>
                <w:bCs/>
              </w:rPr>
              <w:t>$137,958</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256A" w14:textId="77777777" w:rsidR="00AC7576" w:rsidRDefault="00AC7576" w:rsidP="00251389">
            <w:pPr>
              <w:jc w:val="right"/>
              <w:rPr>
                <w:b/>
                <w:bCs/>
              </w:rPr>
            </w:pPr>
            <w:r>
              <w:rPr>
                <w:b/>
                <w:bCs/>
              </w:rPr>
              <w:t>$4,139</w:t>
            </w:r>
          </w:p>
        </w:tc>
      </w:tr>
      <w:tr w:rsidR="00AC7576" w14:paraId="402F6BF1" w14:textId="77777777" w:rsidTr="00251389">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A641" w14:textId="77777777" w:rsidR="00AC7576" w:rsidRDefault="00AC7576" w:rsidP="00251389">
            <w:r>
              <w:rPr>
                <w:b/>
                <w:bCs/>
              </w:rPr>
              <w:t xml:space="preserve">$27,592 </w:t>
            </w:r>
            <w:r>
              <w:t>to</w:t>
            </w:r>
            <w:r>
              <w:rPr>
                <w:b/>
                <w:bCs/>
              </w:rPr>
              <w:t xml:space="preserve"> $82,775</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1BC3E" w14:textId="77777777" w:rsidR="00AC7576" w:rsidRDefault="00AC7576" w:rsidP="00251389">
            <w:pPr>
              <w:jc w:val="right"/>
            </w:pPr>
            <w:r>
              <w:t>5% of the loan amount</w:t>
            </w:r>
          </w:p>
        </w:tc>
      </w:tr>
      <w:tr w:rsidR="00AC7576" w14:paraId="5CF3999A" w14:textId="77777777" w:rsidTr="00251389">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CD916" w14:textId="77777777" w:rsidR="00AC7576" w:rsidRDefault="00AC7576" w:rsidP="00251389">
            <w:r>
              <w:rPr>
                <w:b/>
                <w:bCs/>
              </w:rPr>
              <w:t xml:space="preserve">$17,245 </w:t>
            </w:r>
            <w:r>
              <w:t>to</w:t>
            </w:r>
            <w:r>
              <w:rPr>
                <w:b/>
                <w:bCs/>
              </w:rPr>
              <w:t xml:space="preserve"> $27,592</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10757" w14:textId="77777777" w:rsidR="00AC7576" w:rsidRDefault="00AC7576" w:rsidP="00251389">
            <w:pPr>
              <w:jc w:val="right"/>
              <w:rPr>
                <w:b/>
                <w:bCs/>
              </w:rPr>
            </w:pPr>
            <w:r>
              <w:rPr>
                <w:b/>
                <w:bCs/>
              </w:rPr>
              <w:t>$1,380</w:t>
            </w:r>
          </w:p>
        </w:tc>
      </w:tr>
      <w:tr w:rsidR="00AC7576" w14:paraId="0F285284" w14:textId="77777777" w:rsidTr="00251389">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892AC" w14:textId="77777777" w:rsidR="00AC7576" w:rsidRDefault="00AC7576" w:rsidP="00251389">
            <w:r>
              <w:t>&lt;</w:t>
            </w:r>
            <w:r>
              <w:rPr>
                <w:b/>
                <w:bCs/>
              </w:rPr>
              <w:t>$17,245</w:t>
            </w:r>
          </w:p>
        </w:tc>
        <w:tc>
          <w:tcPr>
            <w:tcW w:w="4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F8F46" w14:textId="77777777" w:rsidR="00AC7576" w:rsidRDefault="00AC7576" w:rsidP="00251389">
            <w:pPr>
              <w:jc w:val="right"/>
            </w:pPr>
            <w:r>
              <w:t>8% of the loan amount</w:t>
            </w:r>
          </w:p>
        </w:tc>
      </w:tr>
    </w:tbl>
    <w:p w14:paraId="18F23C84" w14:textId="77777777" w:rsidR="00AC7576" w:rsidRDefault="00AC7576" w:rsidP="00AC7576"/>
    <w:p w14:paraId="72573E9E" w14:textId="120836BB" w:rsidR="00AC7576" w:rsidRDefault="00AC7576" w:rsidP="00AC7576">
      <w:pPr>
        <w:rPr>
          <w:u w:val="single"/>
        </w:rPr>
      </w:pPr>
      <w:hyperlink r:id="rId14" w:history="1">
        <w:r w:rsidRPr="006E405B">
          <w:rPr>
            <w:rStyle w:val="Hyperlink"/>
          </w:rPr>
          <w:t>Higher Priced Mortgage Loan Appraisal Requirement</w:t>
        </w:r>
      </w:hyperlink>
    </w:p>
    <w:p w14:paraId="180A22AB" w14:textId="0372A9E1" w:rsidR="00AC7576" w:rsidRDefault="00AC7576" w:rsidP="00AC7576">
      <w:r>
        <w:t xml:space="preserve">Generally, in connection with a </w:t>
      </w:r>
      <w:r w:rsidR="00A666C6">
        <w:t>higher-priced</w:t>
      </w:r>
      <w:r>
        <w:t xml:space="preserve"> mortgage loan, the credit union must obtain a written appraisal of the subject property. However, if one of the following exceptions applies, an alternative method of valuation may be used:</w:t>
      </w:r>
    </w:p>
    <w:p w14:paraId="57E0C9EB" w14:textId="501175A1" w:rsidR="00AC7576" w:rsidRDefault="00AC7576" w:rsidP="00AC7576">
      <w:pPr>
        <w:pStyle w:val="ListParagraph"/>
        <w:numPr>
          <w:ilvl w:val="0"/>
          <w:numId w:val="2"/>
        </w:numPr>
        <w:suppressAutoHyphens/>
        <w:autoSpaceDN w:val="0"/>
        <w:spacing w:after="0" w:line="240" w:lineRule="auto"/>
      </w:pPr>
      <w:r>
        <w:t xml:space="preserve">The </w:t>
      </w:r>
      <w:r w:rsidR="00A666C6">
        <w:t>higher-priced</w:t>
      </w:r>
      <w:r>
        <w:t xml:space="preserve"> mortgage loan also meets the definition of a qualified mortgage, </w:t>
      </w:r>
    </w:p>
    <w:p w14:paraId="65AF275E" w14:textId="77777777" w:rsidR="00AC7576" w:rsidRDefault="00AC7576" w:rsidP="00AC7576">
      <w:pPr>
        <w:pStyle w:val="ListParagraph"/>
        <w:numPr>
          <w:ilvl w:val="0"/>
          <w:numId w:val="2"/>
        </w:numPr>
        <w:suppressAutoHyphens/>
        <w:autoSpaceDN w:val="0"/>
        <w:spacing w:after="0" w:line="240" w:lineRule="auto"/>
      </w:pPr>
      <w:r>
        <w:t xml:space="preserve">An extension of credit equal to or less than </w:t>
      </w:r>
      <w:r>
        <w:rPr>
          <w:b/>
          <w:bCs/>
        </w:rPr>
        <w:t>$34,200</w:t>
      </w:r>
      <w:r>
        <w:t xml:space="preserve">, </w:t>
      </w:r>
    </w:p>
    <w:p w14:paraId="0B8629AD" w14:textId="77777777" w:rsidR="00AC7576" w:rsidRDefault="00AC7576" w:rsidP="00AC7576">
      <w:pPr>
        <w:pStyle w:val="ListParagraph"/>
        <w:numPr>
          <w:ilvl w:val="0"/>
          <w:numId w:val="2"/>
        </w:numPr>
        <w:suppressAutoHyphens/>
        <w:autoSpaceDN w:val="0"/>
        <w:spacing w:after="0" w:line="240" w:lineRule="auto"/>
      </w:pPr>
      <w:r>
        <w:t xml:space="preserve">A transaction secured by a mobile home, boat, or trailer, </w:t>
      </w:r>
    </w:p>
    <w:p w14:paraId="34F9943C" w14:textId="77777777" w:rsidR="00AC7576" w:rsidRDefault="00AC7576" w:rsidP="00AC7576">
      <w:pPr>
        <w:pStyle w:val="ListParagraph"/>
        <w:numPr>
          <w:ilvl w:val="0"/>
          <w:numId w:val="2"/>
        </w:numPr>
        <w:suppressAutoHyphens/>
        <w:autoSpaceDN w:val="0"/>
        <w:spacing w:after="0" w:line="240" w:lineRule="auto"/>
      </w:pPr>
      <w:r>
        <w:t xml:space="preserve">A construction loan, </w:t>
      </w:r>
    </w:p>
    <w:p w14:paraId="65B89916" w14:textId="77777777" w:rsidR="00AC7576" w:rsidRDefault="00AC7576" w:rsidP="00AC7576">
      <w:pPr>
        <w:pStyle w:val="ListParagraph"/>
        <w:numPr>
          <w:ilvl w:val="0"/>
          <w:numId w:val="2"/>
        </w:numPr>
        <w:suppressAutoHyphens/>
        <w:autoSpaceDN w:val="0"/>
        <w:spacing w:after="0" w:line="240" w:lineRule="auto"/>
      </w:pPr>
      <w:r>
        <w:t xml:space="preserve">A bridge loan with a term of 12 months or less, or </w:t>
      </w:r>
    </w:p>
    <w:p w14:paraId="75D5D248" w14:textId="77777777" w:rsidR="00AC7576" w:rsidRDefault="00AC7576" w:rsidP="00AC7576">
      <w:pPr>
        <w:pStyle w:val="ListParagraph"/>
        <w:numPr>
          <w:ilvl w:val="0"/>
          <w:numId w:val="2"/>
        </w:numPr>
        <w:suppressAutoHyphens/>
        <w:autoSpaceDN w:val="0"/>
        <w:spacing w:after="0" w:line="240" w:lineRule="auto"/>
      </w:pPr>
      <w:r>
        <w:t xml:space="preserve">A reverse mortgage. </w:t>
      </w:r>
    </w:p>
    <w:p w14:paraId="26F10693" w14:textId="77777777" w:rsidR="00AC7576" w:rsidRDefault="00AC7576" w:rsidP="00AC7576"/>
    <w:p w14:paraId="0795F6F8" w14:textId="2544D40C" w:rsidR="00AC7576" w:rsidRDefault="00AC7576" w:rsidP="00AC7576">
      <w:pPr>
        <w:rPr>
          <w:u w:val="single"/>
        </w:rPr>
      </w:pPr>
      <w:hyperlink r:id="rId15" w:history="1">
        <w:r w:rsidRPr="002650A3">
          <w:rPr>
            <w:rStyle w:val="Hyperlink"/>
          </w:rPr>
          <w:t>High-Cost Mortgage Points and Fees</w:t>
        </w:r>
      </w:hyperlink>
    </w:p>
    <w:p w14:paraId="1F303919" w14:textId="77777777" w:rsidR="00AC7576" w:rsidRDefault="00AC7576" w:rsidP="00AC7576">
      <w:r>
        <w:t>A loan is considered high cost if the points and fees charged in connection with the transaction exceed:</w:t>
      </w:r>
    </w:p>
    <w:p w14:paraId="180B45FB" w14:textId="77777777" w:rsidR="00AC7576" w:rsidRDefault="00AC7576" w:rsidP="00AC7576">
      <w:pPr>
        <w:pStyle w:val="ListParagraph"/>
        <w:numPr>
          <w:ilvl w:val="0"/>
          <w:numId w:val="2"/>
        </w:numPr>
        <w:suppressAutoHyphens/>
        <w:autoSpaceDN w:val="0"/>
        <w:spacing w:after="0" w:line="240" w:lineRule="auto"/>
      </w:pPr>
      <w:r>
        <w:t xml:space="preserve">5% of the loan amount for loans of </w:t>
      </w:r>
      <w:r>
        <w:rPr>
          <w:b/>
          <w:bCs/>
        </w:rPr>
        <w:t>$27,592</w:t>
      </w:r>
      <w:r>
        <w:t xml:space="preserve"> or greater</w:t>
      </w:r>
    </w:p>
    <w:p w14:paraId="0388761E" w14:textId="77777777" w:rsidR="00AC7576" w:rsidRDefault="00AC7576" w:rsidP="00AC7576">
      <w:pPr>
        <w:pStyle w:val="ListParagraph"/>
        <w:numPr>
          <w:ilvl w:val="0"/>
          <w:numId w:val="2"/>
        </w:numPr>
        <w:suppressAutoHyphens/>
        <w:autoSpaceDN w:val="0"/>
        <w:spacing w:after="0" w:line="240" w:lineRule="auto"/>
      </w:pPr>
      <w:r>
        <w:t xml:space="preserve">For loans of less than </w:t>
      </w:r>
      <w:r>
        <w:rPr>
          <w:b/>
          <w:bCs/>
        </w:rPr>
        <w:t>$27,592</w:t>
      </w:r>
      <w:r>
        <w:t xml:space="preserve">, the lesser of – </w:t>
      </w:r>
    </w:p>
    <w:p w14:paraId="25281EC3" w14:textId="77777777" w:rsidR="00AC7576" w:rsidRDefault="00AC7576" w:rsidP="00AC7576">
      <w:pPr>
        <w:pStyle w:val="ListParagraph"/>
        <w:numPr>
          <w:ilvl w:val="1"/>
          <w:numId w:val="2"/>
        </w:numPr>
        <w:suppressAutoHyphens/>
        <w:autoSpaceDN w:val="0"/>
        <w:spacing w:after="0" w:line="240" w:lineRule="auto"/>
      </w:pPr>
      <w:r>
        <w:t xml:space="preserve">8% of the loan amount, or </w:t>
      </w:r>
    </w:p>
    <w:p w14:paraId="0F30EBB8" w14:textId="77777777" w:rsidR="00AC7576" w:rsidRDefault="00AC7576" w:rsidP="00AC7576">
      <w:pPr>
        <w:pStyle w:val="ListParagraph"/>
        <w:numPr>
          <w:ilvl w:val="1"/>
          <w:numId w:val="2"/>
        </w:numPr>
        <w:suppressAutoHyphens/>
        <w:autoSpaceDN w:val="0"/>
        <w:spacing w:after="0" w:line="240" w:lineRule="auto"/>
      </w:pPr>
      <w:r>
        <w:rPr>
          <w:b/>
          <w:bCs/>
        </w:rPr>
        <w:t>$1,380</w:t>
      </w:r>
    </w:p>
    <w:p w14:paraId="664B06C7" w14:textId="01CD7A59" w:rsidR="00397CE2" w:rsidRDefault="00AC1275" w:rsidP="00397CE2">
      <w:pPr>
        <w:rPr>
          <w:b/>
          <w:bCs/>
          <w:color w:val="EE0000"/>
        </w:rPr>
      </w:pPr>
      <w:r>
        <w:rPr>
          <w:b/>
          <w:bCs/>
          <w:color w:val="EE0000"/>
        </w:rPr>
        <w:t xml:space="preserve"> </w:t>
      </w:r>
    </w:p>
    <w:p w14:paraId="7C7FF370" w14:textId="77777777" w:rsidR="00A018B8" w:rsidRDefault="004F1C8C" w:rsidP="00397CE2">
      <w:pPr>
        <w:rPr>
          <w:rFonts w:cstheme="minorHAnsi"/>
        </w:rPr>
      </w:pPr>
      <w:hyperlink r:id="rId16" w:history="1">
        <w:r w:rsidRPr="00573DEE">
          <w:rPr>
            <w:rStyle w:val="Hyperlink"/>
            <w:rFonts w:cstheme="minorHAnsi"/>
          </w:rPr>
          <w:t xml:space="preserve">IRS – Health Savings Accounts (HSA) Contribution Limits. </w:t>
        </w:r>
      </w:hyperlink>
      <w:r w:rsidRPr="00573DEE">
        <w:rPr>
          <w:rFonts w:cstheme="minorHAnsi"/>
        </w:rPr>
        <w:t xml:space="preserve"> </w:t>
      </w:r>
    </w:p>
    <w:p w14:paraId="542C676F" w14:textId="0E3D75C0" w:rsidR="00381E9E" w:rsidRDefault="00A018B8" w:rsidP="00397CE2">
      <w:pPr>
        <w:rPr>
          <w:rFonts w:cstheme="minorHAnsi"/>
        </w:rPr>
      </w:pPr>
      <w:r>
        <w:rPr>
          <w:rFonts w:cstheme="minorHAnsi"/>
        </w:rPr>
        <w:t>Contribution limits</w:t>
      </w:r>
      <w:r w:rsidR="004F1C8C" w:rsidRPr="00573DEE">
        <w:rPr>
          <w:rFonts w:cstheme="minorHAnsi"/>
        </w:rPr>
        <w:t xml:space="preserve"> are adjusted by the IRS annually.  Credit unions should ensure contributions to HSAs do not exceed these limits.  For January 1, 202</w:t>
      </w:r>
      <w:r>
        <w:rPr>
          <w:rFonts w:cstheme="minorHAnsi"/>
        </w:rPr>
        <w:t>6</w:t>
      </w:r>
      <w:r w:rsidR="004F1C8C" w:rsidRPr="00573DEE">
        <w:rPr>
          <w:rFonts w:cstheme="minorHAnsi"/>
        </w:rPr>
        <w:t xml:space="preserve">, contributions must be no more than </w:t>
      </w:r>
      <w:r w:rsidR="004F1C8C" w:rsidRPr="002E7C75">
        <w:rPr>
          <w:rFonts w:cstheme="minorHAnsi"/>
          <w:b/>
          <w:bCs/>
        </w:rPr>
        <w:t>$4,</w:t>
      </w:r>
      <w:r w:rsidRPr="002E7C75">
        <w:rPr>
          <w:rFonts w:cstheme="minorHAnsi"/>
          <w:b/>
          <w:bCs/>
        </w:rPr>
        <w:t>4</w:t>
      </w:r>
      <w:r w:rsidR="004F1C8C" w:rsidRPr="002E7C75">
        <w:rPr>
          <w:rFonts w:cstheme="minorHAnsi"/>
          <w:b/>
          <w:bCs/>
        </w:rPr>
        <w:t>00</w:t>
      </w:r>
      <w:r w:rsidR="004F1C8C" w:rsidRPr="00573DEE">
        <w:rPr>
          <w:rFonts w:cstheme="minorHAnsi"/>
        </w:rPr>
        <w:t xml:space="preserve"> for an individual </w:t>
      </w:r>
      <w:r w:rsidR="004F1C8C">
        <w:rPr>
          <w:rFonts w:cstheme="minorHAnsi"/>
        </w:rPr>
        <w:t xml:space="preserve">high-deductible </w:t>
      </w:r>
      <w:r w:rsidR="004F1C8C" w:rsidRPr="00573DEE">
        <w:rPr>
          <w:rFonts w:cstheme="minorHAnsi"/>
        </w:rPr>
        <w:t xml:space="preserve">plan and </w:t>
      </w:r>
      <w:r w:rsidR="004F1C8C" w:rsidRPr="002E7C75">
        <w:rPr>
          <w:rFonts w:cstheme="minorHAnsi"/>
          <w:b/>
          <w:bCs/>
        </w:rPr>
        <w:t>$8,</w:t>
      </w:r>
      <w:r w:rsidRPr="002E7C75">
        <w:rPr>
          <w:rFonts w:cstheme="minorHAnsi"/>
          <w:b/>
          <w:bCs/>
        </w:rPr>
        <w:t>7</w:t>
      </w:r>
      <w:r w:rsidR="004F1C8C" w:rsidRPr="002E7C75">
        <w:rPr>
          <w:rFonts w:cstheme="minorHAnsi"/>
          <w:b/>
          <w:bCs/>
        </w:rPr>
        <w:t>50</w:t>
      </w:r>
      <w:r w:rsidR="004F1C8C" w:rsidRPr="00573DEE">
        <w:rPr>
          <w:rFonts w:cstheme="minorHAnsi"/>
        </w:rPr>
        <w:t xml:space="preserve"> for a family plan.  This is an increase from 202</w:t>
      </w:r>
      <w:r w:rsidR="00A05E35">
        <w:rPr>
          <w:rFonts w:cstheme="minorHAnsi"/>
        </w:rPr>
        <w:t>5</w:t>
      </w:r>
      <w:r w:rsidR="004F1C8C" w:rsidRPr="00573DEE">
        <w:rPr>
          <w:rFonts w:cstheme="minorHAnsi"/>
        </w:rPr>
        <w:t>.</w:t>
      </w:r>
    </w:p>
    <w:p w14:paraId="2B0E7E66" w14:textId="77777777" w:rsidR="008126F1" w:rsidRDefault="008126F1" w:rsidP="008126F1">
      <w:pPr>
        <w:spacing w:line="256" w:lineRule="auto"/>
      </w:pPr>
    </w:p>
    <w:p w14:paraId="2CC4D955" w14:textId="3613D3EE" w:rsidR="005F529E" w:rsidRDefault="008126F1" w:rsidP="008126F1">
      <w:pPr>
        <w:spacing w:line="256" w:lineRule="auto"/>
        <w:rPr>
          <w:rFonts w:cstheme="minorHAnsi"/>
        </w:rPr>
      </w:pPr>
      <w:hyperlink r:id="rId17" w:history="1">
        <w:r w:rsidRPr="008126F1">
          <w:rPr>
            <w:rStyle w:val="Hyperlink"/>
            <w:rFonts w:cstheme="minorHAnsi"/>
          </w:rPr>
          <w:t>Regulation D – Reserve Requirements of Depository Institutions</w:t>
        </w:r>
      </w:hyperlink>
      <w:r w:rsidRPr="008126F1">
        <w:rPr>
          <w:rFonts w:cstheme="minorHAnsi"/>
        </w:rPr>
        <w:t xml:space="preserve"> </w:t>
      </w:r>
    </w:p>
    <w:p w14:paraId="10F400C9" w14:textId="7B52EA9C" w:rsidR="008126F1" w:rsidRPr="008126F1" w:rsidRDefault="005F529E" w:rsidP="008126F1">
      <w:pPr>
        <w:spacing w:line="256" w:lineRule="auto"/>
        <w:rPr>
          <w:rFonts w:cstheme="minorHAnsi"/>
        </w:rPr>
      </w:pPr>
      <w:r>
        <w:rPr>
          <w:rFonts w:cstheme="minorHAnsi"/>
        </w:rPr>
        <w:t xml:space="preserve">Reserve requirements </w:t>
      </w:r>
      <w:r w:rsidR="008126F1" w:rsidRPr="008126F1">
        <w:rPr>
          <w:rFonts w:cstheme="minorHAnsi"/>
        </w:rPr>
        <w:t>have been updated for 202</w:t>
      </w:r>
      <w:r w:rsidR="00B564E8">
        <w:rPr>
          <w:rFonts w:cstheme="minorHAnsi"/>
        </w:rPr>
        <w:t>6</w:t>
      </w:r>
      <w:r w:rsidR="008126F1" w:rsidRPr="008126F1">
        <w:rPr>
          <w:rFonts w:cstheme="minorHAnsi"/>
        </w:rPr>
        <w:t>, even though the reserve ratios are still set at zero.  These changes take effect on December 2</w:t>
      </w:r>
      <w:r w:rsidR="00B564E8">
        <w:rPr>
          <w:rFonts w:cstheme="minorHAnsi"/>
        </w:rPr>
        <w:t>4</w:t>
      </w:r>
      <w:r w:rsidR="008126F1" w:rsidRPr="008126F1">
        <w:rPr>
          <w:rFonts w:cstheme="minorHAnsi"/>
        </w:rPr>
        <w:t>, 202</w:t>
      </w:r>
      <w:r w:rsidR="00B564E8">
        <w:rPr>
          <w:rFonts w:cstheme="minorHAnsi"/>
        </w:rPr>
        <w:t>5</w:t>
      </w:r>
      <w:r w:rsidR="008126F1" w:rsidRPr="008126F1">
        <w:rPr>
          <w:rFonts w:cstheme="minorHAnsi"/>
        </w:rPr>
        <w:t>.</w:t>
      </w:r>
    </w:p>
    <w:p w14:paraId="3DB11039" w14:textId="77777777" w:rsidR="004F1C8C" w:rsidRDefault="004F1C8C" w:rsidP="00397CE2">
      <w:pPr>
        <w:rPr>
          <w:rFonts w:cstheme="minorHAnsi"/>
        </w:rPr>
      </w:pPr>
    </w:p>
    <w:p w14:paraId="39B11838" w14:textId="77777777" w:rsidR="004F1C8C" w:rsidRDefault="004F1C8C" w:rsidP="00397CE2"/>
    <w:p w14:paraId="07279C53" w14:textId="4A6903AB" w:rsidR="00F03053" w:rsidRPr="00397CE2" w:rsidRDefault="00AC7576">
      <w:pPr>
        <w:rPr>
          <w:b/>
          <w:bCs/>
          <w:sz w:val="28"/>
          <w:szCs w:val="28"/>
        </w:rPr>
      </w:pPr>
      <w:r>
        <w:rPr>
          <w:b/>
          <w:bCs/>
          <w:sz w:val="28"/>
          <w:szCs w:val="28"/>
        </w:rPr>
        <w:t>November</w:t>
      </w:r>
      <w:r w:rsidR="00F03053" w:rsidRPr="00397CE2">
        <w:rPr>
          <w:b/>
          <w:bCs/>
          <w:sz w:val="28"/>
          <w:szCs w:val="28"/>
        </w:rPr>
        <w:t xml:space="preserve"> 2025</w:t>
      </w:r>
    </w:p>
    <w:p w14:paraId="3F8D31C7" w14:textId="2556B29D" w:rsidR="00316155" w:rsidRPr="00397CE2" w:rsidRDefault="00316155" w:rsidP="00316155">
      <w:pPr>
        <w:spacing w:after="0"/>
        <w:rPr>
          <w:b/>
          <w:bCs/>
          <w:i/>
          <w:iCs/>
        </w:rPr>
      </w:pPr>
      <w:r>
        <w:rPr>
          <w:b/>
          <w:bCs/>
          <w:i/>
          <w:iCs/>
        </w:rPr>
        <w:t>2245 – Elder and/or Vulnerable Adult Protections</w:t>
      </w:r>
    </w:p>
    <w:p w14:paraId="26BB7144" w14:textId="77777777" w:rsidR="00316155" w:rsidRPr="00397CE2" w:rsidRDefault="00316155" w:rsidP="00316155">
      <w:pPr>
        <w:spacing w:after="0"/>
        <w:rPr>
          <w:b/>
          <w:bCs/>
          <w:i/>
          <w:iCs/>
        </w:rPr>
      </w:pPr>
      <w:r w:rsidRPr="00397CE2">
        <w:rPr>
          <w:b/>
          <w:bCs/>
          <w:i/>
          <w:iCs/>
        </w:rPr>
        <w:t xml:space="preserve">Revised </w:t>
      </w:r>
      <w:r>
        <w:rPr>
          <w:b/>
          <w:bCs/>
          <w:i/>
          <w:iCs/>
        </w:rPr>
        <w:t>November</w:t>
      </w:r>
    </w:p>
    <w:p w14:paraId="7FF50C99" w14:textId="1EA9053C" w:rsidR="00316155" w:rsidRDefault="00316155" w:rsidP="00316155">
      <w:pPr>
        <w:rPr>
          <w:b/>
          <w:bCs/>
          <w:color w:val="EE0000"/>
        </w:rPr>
      </w:pPr>
      <w:r w:rsidRPr="00316155">
        <w:t xml:space="preserve">Policy 2245 is being updated to include two new key fields for credit unions to include the actual age as defined in their state for a senior citizen/elder and vulnerable adult, under financial abuse laws.  Since each state defines this differently, the credit union will need to research and update </w:t>
      </w:r>
      <w:r>
        <w:t>its</w:t>
      </w:r>
      <w:r w:rsidRPr="00316155">
        <w:t xml:space="preserve"> policy accordingly.  Other minor changes were made to the policy to improve readability.</w:t>
      </w:r>
      <w:r>
        <w:t xml:space="preserve"> </w:t>
      </w:r>
      <w:r w:rsidRPr="002D09C7">
        <w:rPr>
          <w:b/>
          <w:bCs/>
          <w:color w:val="EE0000"/>
        </w:rPr>
        <w:t>(Recommended)</w:t>
      </w:r>
      <w:r>
        <w:rPr>
          <w:b/>
          <w:bCs/>
          <w:color w:val="EE0000"/>
        </w:rPr>
        <w:br/>
      </w:r>
    </w:p>
    <w:p w14:paraId="0FCC7962" w14:textId="198B9A09" w:rsidR="00316155" w:rsidRPr="00397CE2" w:rsidRDefault="00316155" w:rsidP="00316155">
      <w:pPr>
        <w:spacing w:after="0"/>
        <w:rPr>
          <w:b/>
          <w:bCs/>
          <w:i/>
          <w:iCs/>
        </w:rPr>
      </w:pPr>
      <w:r>
        <w:rPr>
          <w:b/>
          <w:bCs/>
          <w:i/>
          <w:iCs/>
        </w:rPr>
        <w:t>2290 – Wire Transfers</w:t>
      </w:r>
    </w:p>
    <w:p w14:paraId="325957EE" w14:textId="77777777" w:rsidR="00316155" w:rsidRPr="00397CE2" w:rsidRDefault="00316155" w:rsidP="00316155">
      <w:pPr>
        <w:spacing w:after="0"/>
        <w:rPr>
          <w:b/>
          <w:bCs/>
          <w:i/>
          <w:iCs/>
        </w:rPr>
      </w:pPr>
      <w:r w:rsidRPr="00397CE2">
        <w:rPr>
          <w:b/>
          <w:bCs/>
          <w:i/>
          <w:iCs/>
        </w:rPr>
        <w:t xml:space="preserve">Revised </w:t>
      </w:r>
      <w:r>
        <w:rPr>
          <w:b/>
          <w:bCs/>
          <w:i/>
          <w:iCs/>
        </w:rPr>
        <w:t>November</w:t>
      </w:r>
    </w:p>
    <w:p w14:paraId="288F0933" w14:textId="6067B178" w:rsidR="00316155" w:rsidRDefault="00A0454C" w:rsidP="00316155">
      <w:pPr>
        <w:rPr>
          <w:b/>
          <w:bCs/>
          <w:color w:val="EE0000"/>
        </w:rPr>
      </w:pPr>
      <w:r w:rsidRPr="00A0454C">
        <w:t xml:space="preserve">Policy 2290 was updated to clarify that the member has one year from receipt of confirmation that a wire transfer has been sent in their name to object to the payment, under the Uniform Commercial Code (Article 4A), along with reference to the specific </w:t>
      </w:r>
      <w:r w:rsidRPr="00A0454C">
        <w:lastRenderedPageBreak/>
        <w:t>applicability of Subpart B of Regulation E for International Remittance Transfers.</w:t>
      </w:r>
      <w:r>
        <w:t xml:space="preserve"> </w:t>
      </w:r>
      <w:r w:rsidR="00316155" w:rsidRPr="002D09C7">
        <w:rPr>
          <w:b/>
          <w:bCs/>
          <w:color w:val="EE0000"/>
        </w:rPr>
        <w:t>(Re</w:t>
      </w:r>
      <w:r>
        <w:rPr>
          <w:b/>
          <w:bCs/>
          <w:color w:val="EE0000"/>
        </w:rPr>
        <w:t>quire</w:t>
      </w:r>
      <w:r w:rsidR="00316155" w:rsidRPr="002D09C7">
        <w:rPr>
          <w:b/>
          <w:bCs/>
          <w:color w:val="EE0000"/>
        </w:rPr>
        <w:t>d)</w:t>
      </w:r>
    </w:p>
    <w:p w14:paraId="585BE675" w14:textId="77777777" w:rsidR="00C713E7" w:rsidRDefault="00C713E7" w:rsidP="00F03053">
      <w:pPr>
        <w:spacing w:after="0"/>
        <w:rPr>
          <w:b/>
          <w:bCs/>
          <w:i/>
          <w:iCs/>
        </w:rPr>
      </w:pPr>
    </w:p>
    <w:p w14:paraId="4E51546E" w14:textId="0B51B365" w:rsidR="00F03053" w:rsidRPr="00397CE2" w:rsidRDefault="00AC7576" w:rsidP="00F03053">
      <w:pPr>
        <w:spacing w:after="0"/>
        <w:rPr>
          <w:b/>
          <w:bCs/>
          <w:i/>
          <w:iCs/>
        </w:rPr>
      </w:pPr>
      <w:r>
        <w:rPr>
          <w:b/>
          <w:bCs/>
          <w:i/>
          <w:iCs/>
        </w:rPr>
        <w:t>4500 – Artificial Intelligence</w:t>
      </w:r>
    </w:p>
    <w:p w14:paraId="2120E019" w14:textId="6D4E1702" w:rsidR="00F03053" w:rsidRPr="00397CE2" w:rsidRDefault="00F03053" w:rsidP="00F03053">
      <w:pPr>
        <w:spacing w:after="0"/>
        <w:rPr>
          <w:b/>
          <w:bCs/>
          <w:i/>
          <w:iCs/>
        </w:rPr>
      </w:pPr>
      <w:r w:rsidRPr="00397CE2">
        <w:rPr>
          <w:b/>
          <w:bCs/>
          <w:i/>
          <w:iCs/>
        </w:rPr>
        <w:t xml:space="preserve">Revised </w:t>
      </w:r>
      <w:r w:rsidR="00AC7576">
        <w:rPr>
          <w:b/>
          <w:bCs/>
          <w:i/>
          <w:iCs/>
        </w:rPr>
        <w:t>November</w:t>
      </w:r>
    </w:p>
    <w:p w14:paraId="64B351AD" w14:textId="32FED72C" w:rsidR="00F03053" w:rsidRDefault="00B9319B">
      <w:r w:rsidRPr="00B9319B">
        <w:t>As the usage of artificial intelligence continues to evolve, this policy will continue to evolve to keep pace with expectations for the safe, ethical, and compliant use of AI.  With the publication of the National Institute of Standards and Technology Artificial Intelligence Risk Management Framework (AI RMF), credit unions now have a foundation upon which to build.  More was added to this policy to assist in developing a more comprehensive program, along with more specific examples such as key controls and risks.</w:t>
      </w:r>
      <w:r>
        <w:t xml:space="preserve"> </w:t>
      </w:r>
      <w:r w:rsidR="00F03053" w:rsidRPr="002D09C7">
        <w:rPr>
          <w:b/>
          <w:bCs/>
          <w:color w:val="EE0000"/>
        </w:rPr>
        <w:t>(Recommended)</w:t>
      </w:r>
      <w:r w:rsidR="00F03053">
        <w:rPr>
          <w:b/>
          <w:bCs/>
          <w:color w:val="EE0000"/>
        </w:rPr>
        <w:br/>
      </w:r>
    </w:p>
    <w:p w14:paraId="3692D2E2" w14:textId="07F7FFB7" w:rsidR="00D57684" w:rsidRPr="00397CE2" w:rsidRDefault="00D57684" w:rsidP="00D57684">
      <w:pPr>
        <w:spacing w:after="0"/>
        <w:rPr>
          <w:b/>
          <w:bCs/>
          <w:i/>
          <w:iCs/>
        </w:rPr>
      </w:pPr>
      <w:r>
        <w:rPr>
          <w:b/>
          <w:bCs/>
          <w:i/>
          <w:iCs/>
        </w:rPr>
        <w:t>7510 – Collection Process</w:t>
      </w:r>
    </w:p>
    <w:p w14:paraId="39B107A3" w14:textId="77777777" w:rsidR="00D57684" w:rsidRPr="00397CE2" w:rsidRDefault="00D57684" w:rsidP="00D57684">
      <w:pPr>
        <w:spacing w:after="0"/>
        <w:rPr>
          <w:b/>
          <w:bCs/>
          <w:i/>
          <w:iCs/>
        </w:rPr>
      </w:pPr>
      <w:r w:rsidRPr="00397CE2">
        <w:rPr>
          <w:b/>
          <w:bCs/>
          <w:i/>
          <w:iCs/>
        </w:rPr>
        <w:t xml:space="preserve">Revised </w:t>
      </w:r>
      <w:r>
        <w:rPr>
          <w:b/>
          <w:bCs/>
          <w:i/>
          <w:iCs/>
        </w:rPr>
        <w:t>November</w:t>
      </w:r>
    </w:p>
    <w:p w14:paraId="5C2FF33A" w14:textId="5180CC9F" w:rsidR="00D57684" w:rsidRDefault="00C713E7" w:rsidP="00D57684">
      <w:pPr>
        <w:rPr>
          <w:b/>
          <w:bCs/>
          <w:color w:val="EE0000"/>
        </w:rPr>
      </w:pPr>
      <w:r w:rsidRPr="00C713E7">
        <w:t>Policy 7510 was revised to reference and incorporate compliance with the Servicemembers Civil Relief Act (SCRA) and Military Lending Act (MLA).  Additional revisions were made to reference the requirement to follow state law and internal policies on loan workouts.</w:t>
      </w:r>
      <w:r>
        <w:t xml:space="preserve"> </w:t>
      </w:r>
      <w:r w:rsidR="00D57684" w:rsidRPr="002D09C7">
        <w:rPr>
          <w:b/>
          <w:bCs/>
          <w:color w:val="EE0000"/>
        </w:rPr>
        <w:t>(Recommended)</w:t>
      </w:r>
      <w:r>
        <w:rPr>
          <w:b/>
          <w:bCs/>
          <w:color w:val="EE0000"/>
        </w:rPr>
        <w:br/>
      </w:r>
    </w:p>
    <w:p w14:paraId="2260AC00" w14:textId="2E300B11" w:rsidR="00F03053" w:rsidRPr="00397CE2" w:rsidRDefault="00A0454C">
      <w:pPr>
        <w:rPr>
          <w:b/>
          <w:bCs/>
          <w:sz w:val="28"/>
          <w:szCs w:val="28"/>
        </w:rPr>
      </w:pPr>
      <w:r>
        <w:rPr>
          <w:b/>
          <w:bCs/>
          <w:sz w:val="28"/>
          <w:szCs w:val="28"/>
        </w:rPr>
        <w:t>December 2025</w:t>
      </w:r>
    </w:p>
    <w:p w14:paraId="3743A8F2" w14:textId="42D278DC" w:rsidR="008479D5" w:rsidRDefault="008479D5" w:rsidP="00F03053">
      <w:pPr>
        <w:spacing w:after="0"/>
        <w:rPr>
          <w:b/>
          <w:bCs/>
          <w:i/>
          <w:iCs/>
        </w:rPr>
      </w:pPr>
      <w:r>
        <w:rPr>
          <w:b/>
          <w:bCs/>
          <w:i/>
          <w:iCs/>
        </w:rPr>
        <w:t>1100.12</w:t>
      </w:r>
      <w:r w:rsidR="0090166C">
        <w:rPr>
          <w:b/>
          <w:bCs/>
          <w:i/>
          <w:iCs/>
        </w:rPr>
        <w:t xml:space="preserve"> – Board of </w:t>
      </w:r>
      <w:r w:rsidR="00A666C6">
        <w:rPr>
          <w:b/>
          <w:bCs/>
          <w:i/>
          <w:iCs/>
        </w:rPr>
        <w:t>Directors’</w:t>
      </w:r>
      <w:r w:rsidR="0090166C">
        <w:rPr>
          <w:b/>
          <w:bCs/>
          <w:i/>
          <w:iCs/>
        </w:rPr>
        <w:t xml:space="preserve"> Duties</w:t>
      </w:r>
    </w:p>
    <w:p w14:paraId="10AC9239" w14:textId="6ED06AD2" w:rsidR="0090166C" w:rsidRDefault="0090166C" w:rsidP="00F03053">
      <w:pPr>
        <w:spacing w:after="0"/>
        <w:rPr>
          <w:b/>
          <w:bCs/>
          <w:i/>
          <w:iCs/>
        </w:rPr>
      </w:pPr>
      <w:r>
        <w:rPr>
          <w:b/>
          <w:bCs/>
          <w:i/>
          <w:iCs/>
        </w:rPr>
        <w:t>Revised December 2025</w:t>
      </w:r>
    </w:p>
    <w:p w14:paraId="6D3AF290" w14:textId="77777777" w:rsidR="0090166C" w:rsidRDefault="0090166C" w:rsidP="0090166C">
      <w:r>
        <w:t xml:space="preserve">This resource was updated to include the requirement to have a working familiarity with the credit union’s succession plan, as required by regulation.  </w:t>
      </w:r>
      <w:r w:rsidRPr="002D09C7">
        <w:rPr>
          <w:b/>
          <w:bCs/>
          <w:color w:val="EE0000"/>
        </w:rPr>
        <w:t>(Recommended)</w:t>
      </w:r>
    </w:p>
    <w:p w14:paraId="745C7B75" w14:textId="77777777" w:rsidR="008479D5" w:rsidRDefault="008479D5" w:rsidP="00F03053">
      <w:pPr>
        <w:spacing w:after="0"/>
        <w:rPr>
          <w:b/>
          <w:bCs/>
          <w:i/>
          <w:iCs/>
        </w:rPr>
      </w:pPr>
    </w:p>
    <w:p w14:paraId="7EA9B58C" w14:textId="39B51E69" w:rsidR="00F03053" w:rsidRPr="00397CE2" w:rsidRDefault="00F03053" w:rsidP="00F03053">
      <w:pPr>
        <w:spacing w:after="0"/>
        <w:rPr>
          <w:b/>
          <w:bCs/>
          <w:i/>
          <w:iCs/>
        </w:rPr>
      </w:pPr>
      <w:r w:rsidRPr="00397CE2">
        <w:rPr>
          <w:b/>
          <w:bCs/>
          <w:i/>
          <w:iCs/>
        </w:rPr>
        <w:t>1100.15 – Education and Volunteer Training Guidelines</w:t>
      </w:r>
    </w:p>
    <w:p w14:paraId="4FA6C2CC" w14:textId="07F22F00" w:rsidR="00F03053" w:rsidRPr="00397CE2" w:rsidRDefault="00F03053" w:rsidP="00F03053">
      <w:pPr>
        <w:spacing w:after="0"/>
        <w:rPr>
          <w:b/>
          <w:bCs/>
          <w:i/>
          <w:iCs/>
        </w:rPr>
      </w:pPr>
      <w:r w:rsidRPr="00397CE2">
        <w:rPr>
          <w:b/>
          <w:bCs/>
          <w:i/>
          <w:iCs/>
        </w:rPr>
        <w:t xml:space="preserve">Revised </w:t>
      </w:r>
      <w:r w:rsidR="00110BAD">
        <w:rPr>
          <w:b/>
          <w:bCs/>
          <w:i/>
          <w:iCs/>
        </w:rPr>
        <w:t>December 2025</w:t>
      </w:r>
    </w:p>
    <w:p w14:paraId="4B8BDBE8" w14:textId="14905E61" w:rsidR="00F03053" w:rsidRDefault="00F03053" w:rsidP="00F03053">
      <w:r>
        <w:t xml:space="preserve">This resource was updated to </w:t>
      </w:r>
      <w:r w:rsidR="00AE6FCA">
        <w:t xml:space="preserve">include the requirement to </w:t>
      </w:r>
      <w:r w:rsidR="001B6AFB">
        <w:t xml:space="preserve">have a working </w:t>
      </w:r>
      <w:r w:rsidR="00383B65">
        <w:t>familiarity</w:t>
      </w:r>
      <w:r w:rsidR="001B6AFB">
        <w:t xml:space="preserve"> </w:t>
      </w:r>
      <w:r w:rsidR="0090166C">
        <w:t>with</w:t>
      </w:r>
      <w:r w:rsidR="001B6AFB">
        <w:t xml:space="preserve"> the credit union’s succession plan, as required by regulation.</w:t>
      </w:r>
      <w:r>
        <w:t xml:space="preserve">  </w:t>
      </w:r>
      <w:r w:rsidRPr="002D09C7">
        <w:rPr>
          <w:b/>
          <w:bCs/>
          <w:color w:val="EE0000"/>
        </w:rPr>
        <w:t>(Recommended)</w:t>
      </w:r>
    </w:p>
    <w:p w14:paraId="00703A40" w14:textId="77777777" w:rsidR="0039068F" w:rsidRDefault="0039068F" w:rsidP="00397CE2">
      <w:pPr>
        <w:spacing w:after="0"/>
        <w:rPr>
          <w:b/>
          <w:bCs/>
          <w:i/>
          <w:iCs/>
        </w:rPr>
      </w:pPr>
    </w:p>
    <w:p w14:paraId="1AE299DB" w14:textId="42407C20" w:rsidR="00397CE2" w:rsidRPr="00397CE2" w:rsidRDefault="00DE0D5F" w:rsidP="00397CE2">
      <w:pPr>
        <w:spacing w:after="0"/>
        <w:rPr>
          <w:b/>
          <w:bCs/>
          <w:i/>
          <w:iCs/>
        </w:rPr>
      </w:pPr>
      <w:r>
        <w:rPr>
          <w:b/>
          <w:bCs/>
          <w:i/>
          <w:iCs/>
        </w:rPr>
        <w:t>1520 – Succession Planning</w:t>
      </w:r>
    </w:p>
    <w:p w14:paraId="0235273A" w14:textId="31366662" w:rsidR="00397CE2" w:rsidRPr="00397CE2" w:rsidRDefault="00397CE2" w:rsidP="00397CE2">
      <w:pPr>
        <w:spacing w:after="0"/>
        <w:rPr>
          <w:b/>
          <w:bCs/>
          <w:i/>
          <w:iCs/>
        </w:rPr>
      </w:pPr>
      <w:r w:rsidRPr="00397CE2">
        <w:rPr>
          <w:b/>
          <w:bCs/>
          <w:i/>
          <w:iCs/>
        </w:rPr>
        <w:t xml:space="preserve">Revised </w:t>
      </w:r>
      <w:r w:rsidR="00DE0D5F">
        <w:rPr>
          <w:b/>
          <w:bCs/>
          <w:i/>
          <w:iCs/>
        </w:rPr>
        <w:t>December</w:t>
      </w:r>
      <w:r w:rsidRPr="00397CE2">
        <w:rPr>
          <w:b/>
          <w:bCs/>
          <w:i/>
          <w:iCs/>
        </w:rPr>
        <w:t xml:space="preserve"> 2025</w:t>
      </w:r>
    </w:p>
    <w:p w14:paraId="060EBE5D" w14:textId="04B4528A" w:rsidR="00F03053" w:rsidRDefault="00836527">
      <w:pPr>
        <w:rPr>
          <w:b/>
          <w:bCs/>
          <w:color w:val="EE0000"/>
        </w:rPr>
      </w:pPr>
      <w:r w:rsidRPr="00836527">
        <w:t xml:space="preserve">Changes have been made to the Succession Planning Policy/Plan and some associated materials to reflect the training requirements for the succession planning rule and to </w:t>
      </w:r>
      <w:r w:rsidRPr="00836527">
        <w:lastRenderedPageBreak/>
        <w:t>provide some additional consistency with terminology.</w:t>
      </w:r>
      <w:r w:rsidR="00397CE2">
        <w:t xml:space="preserve"> </w:t>
      </w:r>
      <w:r w:rsidR="00397CE2" w:rsidRPr="002D09C7">
        <w:rPr>
          <w:b/>
          <w:bCs/>
          <w:color w:val="EE0000"/>
        </w:rPr>
        <w:t>(Re</w:t>
      </w:r>
      <w:r>
        <w:rPr>
          <w:b/>
          <w:bCs/>
          <w:color w:val="EE0000"/>
        </w:rPr>
        <w:t>quired</w:t>
      </w:r>
      <w:r w:rsidR="00397CE2" w:rsidRPr="002D09C7">
        <w:rPr>
          <w:b/>
          <w:bCs/>
          <w:color w:val="EE0000"/>
        </w:rPr>
        <w:t>)</w:t>
      </w:r>
      <w:r>
        <w:rPr>
          <w:b/>
          <w:bCs/>
          <w:color w:val="EE0000"/>
        </w:rPr>
        <w:br/>
      </w:r>
    </w:p>
    <w:p w14:paraId="41A8F70C" w14:textId="30DB50A7" w:rsidR="00110838" w:rsidRPr="00397CE2" w:rsidRDefault="00110838" w:rsidP="00110838">
      <w:pPr>
        <w:spacing w:after="0"/>
        <w:rPr>
          <w:b/>
          <w:bCs/>
          <w:i/>
          <w:iCs/>
        </w:rPr>
      </w:pPr>
      <w:r>
        <w:rPr>
          <w:b/>
          <w:bCs/>
          <w:i/>
          <w:iCs/>
        </w:rPr>
        <w:t>1520.10 – Succession Plan</w:t>
      </w:r>
    </w:p>
    <w:p w14:paraId="0A1A53DD" w14:textId="77777777" w:rsidR="00110838" w:rsidRPr="00397CE2" w:rsidRDefault="00110838" w:rsidP="00110838">
      <w:pPr>
        <w:spacing w:after="0"/>
        <w:rPr>
          <w:b/>
          <w:bCs/>
          <w:i/>
          <w:iCs/>
        </w:rPr>
      </w:pPr>
      <w:r w:rsidRPr="00397CE2">
        <w:rPr>
          <w:b/>
          <w:bCs/>
          <w:i/>
          <w:iCs/>
        </w:rPr>
        <w:t xml:space="preserve">Revised </w:t>
      </w:r>
      <w:r>
        <w:rPr>
          <w:b/>
          <w:bCs/>
          <w:i/>
          <w:iCs/>
        </w:rPr>
        <w:t>December</w:t>
      </w:r>
      <w:r w:rsidRPr="00397CE2">
        <w:rPr>
          <w:b/>
          <w:bCs/>
          <w:i/>
          <w:iCs/>
        </w:rPr>
        <w:t xml:space="preserve"> 2025</w:t>
      </w:r>
    </w:p>
    <w:p w14:paraId="1DFA7114" w14:textId="55028724" w:rsidR="00836527" w:rsidRDefault="00836527" w:rsidP="00836527">
      <w:pPr>
        <w:rPr>
          <w:b/>
          <w:bCs/>
          <w:color w:val="EE0000"/>
        </w:rPr>
      </w:pPr>
      <w:r w:rsidRPr="00836527">
        <w:t>Changes have been made to the Succession Planning Policy/Plan and some associated materials to reflect the training requirements for the succession planning rule and to provide some additional consistency with terminology.</w:t>
      </w:r>
      <w:r>
        <w:t xml:space="preserve"> </w:t>
      </w:r>
      <w:r w:rsidRPr="002D09C7">
        <w:rPr>
          <w:b/>
          <w:bCs/>
          <w:color w:val="EE0000"/>
        </w:rPr>
        <w:t>(Re</w:t>
      </w:r>
      <w:r>
        <w:rPr>
          <w:b/>
          <w:bCs/>
          <w:color w:val="EE0000"/>
        </w:rPr>
        <w:t>quired</w:t>
      </w:r>
      <w:r w:rsidRPr="002D09C7">
        <w:rPr>
          <w:b/>
          <w:bCs/>
          <w:color w:val="EE0000"/>
        </w:rPr>
        <w:t>)</w:t>
      </w:r>
      <w:r w:rsidR="005D4FAA">
        <w:rPr>
          <w:b/>
          <w:bCs/>
          <w:color w:val="EE0000"/>
        </w:rPr>
        <w:br/>
      </w:r>
    </w:p>
    <w:p w14:paraId="24312D0A" w14:textId="5478A2BE" w:rsidR="00495F52" w:rsidRDefault="00495F52" w:rsidP="003C77A4">
      <w:pPr>
        <w:spacing w:after="0"/>
        <w:rPr>
          <w:b/>
          <w:bCs/>
          <w:i/>
          <w:iCs/>
        </w:rPr>
      </w:pPr>
      <w:r>
        <w:rPr>
          <w:b/>
          <w:bCs/>
          <w:i/>
          <w:iCs/>
        </w:rPr>
        <w:t xml:space="preserve">2210.14 </w:t>
      </w:r>
      <w:r w:rsidR="0061502A">
        <w:rPr>
          <w:b/>
          <w:bCs/>
          <w:i/>
          <w:iCs/>
        </w:rPr>
        <w:t>– Health Savings Accounts</w:t>
      </w:r>
    </w:p>
    <w:p w14:paraId="5DCD3383" w14:textId="2FF5E305" w:rsidR="0061502A" w:rsidRDefault="0061502A" w:rsidP="003C77A4">
      <w:pPr>
        <w:spacing w:after="0"/>
        <w:rPr>
          <w:b/>
          <w:bCs/>
          <w:i/>
          <w:iCs/>
        </w:rPr>
      </w:pPr>
      <w:r>
        <w:rPr>
          <w:b/>
          <w:bCs/>
          <w:i/>
          <w:iCs/>
        </w:rPr>
        <w:t>Revised December 2025</w:t>
      </w:r>
    </w:p>
    <w:p w14:paraId="0072FA38" w14:textId="7AC5DE83" w:rsidR="0061502A" w:rsidRPr="0061502A" w:rsidRDefault="0061502A" w:rsidP="003C77A4">
      <w:pPr>
        <w:spacing w:after="0"/>
      </w:pPr>
      <w:r>
        <w:t xml:space="preserve">Guidelines were revised to adopt the </w:t>
      </w:r>
      <w:hyperlink r:id="rId18" w:history="1">
        <w:r w:rsidRPr="00AF2104">
          <w:rPr>
            <w:rStyle w:val="Hyperlink"/>
          </w:rPr>
          <w:t>2026</w:t>
        </w:r>
        <w:r w:rsidR="00AF2104" w:rsidRPr="00AF2104">
          <w:rPr>
            <w:rStyle w:val="Hyperlink"/>
          </w:rPr>
          <w:t xml:space="preserve"> contribution</w:t>
        </w:r>
        <w:r w:rsidR="005C4D8E">
          <w:rPr>
            <w:rStyle w:val="Hyperlink"/>
          </w:rPr>
          <w:t xml:space="preserve"> annual</w:t>
        </w:r>
        <w:r w:rsidR="00AF2104" w:rsidRPr="00AF2104">
          <w:rPr>
            <w:rStyle w:val="Hyperlink"/>
          </w:rPr>
          <w:t xml:space="preserve"> limits</w:t>
        </w:r>
      </w:hyperlink>
      <w:r w:rsidR="00AF2104">
        <w:t xml:space="preserve"> for HSAs</w:t>
      </w:r>
      <w:r w:rsidR="005C4D8E">
        <w:t xml:space="preserve"> for 2026</w:t>
      </w:r>
      <w:r w:rsidR="00AF2104">
        <w:t xml:space="preserve">.  </w:t>
      </w:r>
      <w:r w:rsidR="00B16F7F" w:rsidRPr="002D09C7">
        <w:rPr>
          <w:b/>
          <w:bCs/>
          <w:color w:val="EE0000"/>
        </w:rPr>
        <w:t>(Re</w:t>
      </w:r>
      <w:r w:rsidR="00B16F7F">
        <w:rPr>
          <w:b/>
          <w:bCs/>
          <w:color w:val="EE0000"/>
        </w:rPr>
        <w:t>quired</w:t>
      </w:r>
      <w:r w:rsidR="00B16F7F" w:rsidRPr="002D09C7">
        <w:rPr>
          <w:b/>
          <w:bCs/>
          <w:color w:val="EE0000"/>
        </w:rPr>
        <w:t>)</w:t>
      </w:r>
    </w:p>
    <w:p w14:paraId="59EDF9D2" w14:textId="77777777" w:rsidR="00495F52" w:rsidRDefault="00495F52" w:rsidP="003C77A4">
      <w:pPr>
        <w:spacing w:after="0"/>
        <w:rPr>
          <w:b/>
          <w:bCs/>
          <w:i/>
          <w:iCs/>
        </w:rPr>
      </w:pPr>
    </w:p>
    <w:p w14:paraId="7F261F6C" w14:textId="0D99A224" w:rsidR="003C77A4" w:rsidRPr="00397CE2" w:rsidRDefault="005D4FAA" w:rsidP="003C77A4">
      <w:pPr>
        <w:spacing w:after="0"/>
        <w:rPr>
          <w:b/>
          <w:bCs/>
          <w:i/>
          <w:iCs/>
        </w:rPr>
      </w:pPr>
      <w:r>
        <w:rPr>
          <w:b/>
          <w:bCs/>
          <w:i/>
          <w:iCs/>
        </w:rPr>
        <w:t>2611 – ACH Operations and Management</w:t>
      </w:r>
    </w:p>
    <w:p w14:paraId="749066AC" w14:textId="77777777" w:rsidR="003C77A4" w:rsidRPr="00397CE2" w:rsidRDefault="003C77A4" w:rsidP="003C77A4">
      <w:pPr>
        <w:spacing w:after="0"/>
        <w:rPr>
          <w:b/>
          <w:bCs/>
          <w:i/>
          <w:iCs/>
        </w:rPr>
      </w:pPr>
      <w:r w:rsidRPr="00397CE2">
        <w:rPr>
          <w:b/>
          <w:bCs/>
          <w:i/>
          <w:iCs/>
        </w:rPr>
        <w:t xml:space="preserve">Revised </w:t>
      </w:r>
      <w:r>
        <w:rPr>
          <w:b/>
          <w:bCs/>
          <w:i/>
          <w:iCs/>
        </w:rPr>
        <w:t>December</w:t>
      </w:r>
      <w:r w:rsidRPr="00397CE2">
        <w:rPr>
          <w:b/>
          <w:bCs/>
          <w:i/>
          <w:iCs/>
        </w:rPr>
        <w:t xml:space="preserve"> 2025</w:t>
      </w:r>
    </w:p>
    <w:p w14:paraId="62BFB8D0" w14:textId="24E794AF" w:rsidR="003C77A4" w:rsidRDefault="005D4FAA" w:rsidP="003C77A4">
      <w:pPr>
        <w:rPr>
          <w:b/>
          <w:bCs/>
          <w:color w:val="EE0000"/>
        </w:rPr>
      </w:pPr>
      <w:r w:rsidRPr="005D4FAA">
        <w:t>Th</w:t>
      </w:r>
      <w:r>
        <w:t>is policy has</w:t>
      </w:r>
      <w:r w:rsidRPr="005D4FAA">
        <w:t xml:space="preserve"> been updated to incorporate </w:t>
      </w:r>
      <w:r w:rsidR="00512DD3">
        <w:t xml:space="preserve">upcoming </w:t>
      </w:r>
      <w:r w:rsidRPr="005D4FAA">
        <w:t xml:space="preserve">NACHA changes related to </w:t>
      </w:r>
      <w:hyperlink r:id="rId19" w:tgtFrame="_blank" w:history="1">
        <w:r w:rsidRPr="005D4FAA">
          <w:rPr>
            <w:rStyle w:val="Hyperlink"/>
          </w:rPr>
          <w:t>Company Entry Descriptions,</w:t>
        </w:r>
      </w:hyperlink>
      <w:r w:rsidRPr="005D4FAA">
        <w:t xml:space="preserve"> the </w:t>
      </w:r>
      <w:hyperlink r:id="rId20" w:tgtFrame="_blank" w:history="1">
        <w:r w:rsidRPr="005D4FAA">
          <w:rPr>
            <w:rStyle w:val="Hyperlink"/>
          </w:rPr>
          <w:t>definition of IAT Entries</w:t>
        </w:r>
      </w:hyperlink>
      <w:r w:rsidRPr="005D4FAA">
        <w:t xml:space="preserve">, </w:t>
      </w:r>
      <w:hyperlink r:id="rId21" w:tgtFrame="_blank" w:history="1">
        <w:r w:rsidRPr="005D4FAA">
          <w:rPr>
            <w:rStyle w:val="Hyperlink"/>
          </w:rPr>
          <w:t>funds availability requirements for non-same-day credit entries</w:t>
        </w:r>
      </w:hyperlink>
      <w:r w:rsidRPr="005D4FAA">
        <w:t xml:space="preserve">, and </w:t>
      </w:r>
      <w:hyperlink r:id="rId22" w:tgtFrame="_blank" w:history="1">
        <w:r w:rsidRPr="005D4FAA">
          <w:rPr>
            <w:rStyle w:val="Hyperlink"/>
          </w:rPr>
          <w:t>fraud monitoring</w:t>
        </w:r>
      </w:hyperlink>
      <w:r w:rsidRPr="005D4FAA">
        <w:t>.</w:t>
      </w:r>
      <w:r w:rsidR="003C77A4">
        <w:t xml:space="preserve"> </w:t>
      </w:r>
      <w:r w:rsidR="003C77A4" w:rsidRPr="002D09C7">
        <w:rPr>
          <w:b/>
          <w:bCs/>
          <w:color w:val="EE0000"/>
        </w:rPr>
        <w:t>(Re</w:t>
      </w:r>
      <w:r w:rsidR="003C77A4">
        <w:rPr>
          <w:b/>
          <w:bCs/>
          <w:color w:val="EE0000"/>
        </w:rPr>
        <w:t>quired</w:t>
      </w:r>
      <w:r w:rsidR="003C77A4" w:rsidRPr="002D09C7">
        <w:rPr>
          <w:b/>
          <w:bCs/>
          <w:color w:val="EE0000"/>
        </w:rPr>
        <w:t>)</w:t>
      </w:r>
      <w:r>
        <w:rPr>
          <w:b/>
          <w:bCs/>
          <w:color w:val="EE0000"/>
        </w:rPr>
        <w:br/>
      </w:r>
    </w:p>
    <w:p w14:paraId="1DA8AAC4" w14:textId="77777777" w:rsidR="005D4FAA" w:rsidRPr="00397CE2" w:rsidRDefault="005D4FAA" w:rsidP="005D4FAA">
      <w:pPr>
        <w:spacing w:after="0"/>
        <w:rPr>
          <w:b/>
          <w:bCs/>
          <w:i/>
          <w:iCs/>
        </w:rPr>
      </w:pPr>
      <w:r>
        <w:rPr>
          <w:b/>
          <w:bCs/>
          <w:i/>
          <w:iCs/>
        </w:rPr>
        <w:t>2612 – ACH Audit</w:t>
      </w:r>
    </w:p>
    <w:p w14:paraId="6AABF14D" w14:textId="77777777" w:rsidR="005D4FAA" w:rsidRPr="00397CE2" w:rsidRDefault="005D4FAA" w:rsidP="005D4FAA">
      <w:pPr>
        <w:spacing w:after="0"/>
        <w:rPr>
          <w:b/>
          <w:bCs/>
          <w:i/>
          <w:iCs/>
        </w:rPr>
      </w:pPr>
      <w:r w:rsidRPr="00397CE2">
        <w:rPr>
          <w:b/>
          <w:bCs/>
          <w:i/>
          <w:iCs/>
        </w:rPr>
        <w:t xml:space="preserve">Revised </w:t>
      </w:r>
      <w:r>
        <w:rPr>
          <w:b/>
          <w:bCs/>
          <w:i/>
          <w:iCs/>
        </w:rPr>
        <w:t>December</w:t>
      </w:r>
      <w:r w:rsidRPr="00397CE2">
        <w:rPr>
          <w:b/>
          <w:bCs/>
          <w:i/>
          <w:iCs/>
        </w:rPr>
        <w:t xml:space="preserve"> 2025</w:t>
      </w:r>
    </w:p>
    <w:p w14:paraId="6154F77B" w14:textId="7345D078" w:rsidR="005D4FAA" w:rsidRDefault="005D4FAA" w:rsidP="005D4FAA">
      <w:pPr>
        <w:rPr>
          <w:b/>
          <w:bCs/>
          <w:color w:val="EE0000"/>
        </w:rPr>
      </w:pPr>
      <w:r w:rsidRPr="005D4FAA">
        <w:t>Th</w:t>
      </w:r>
      <w:r>
        <w:t>is policy has</w:t>
      </w:r>
      <w:r w:rsidRPr="005D4FAA">
        <w:t xml:space="preserve"> been updated to incorporate </w:t>
      </w:r>
      <w:r w:rsidR="00512DD3">
        <w:t xml:space="preserve">upcoming </w:t>
      </w:r>
      <w:r w:rsidRPr="005D4FAA">
        <w:t xml:space="preserve">NACHA changes related to </w:t>
      </w:r>
      <w:hyperlink r:id="rId23" w:tgtFrame="_blank" w:history="1">
        <w:r w:rsidRPr="005D4FAA">
          <w:rPr>
            <w:rStyle w:val="Hyperlink"/>
          </w:rPr>
          <w:t>Company Entry Descriptions,</w:t>
        </w:r>
      </w:hyperlink>
      <w:r w:rsidRPr="005D4FAA">
        <w:t xml:space="preserve"> the </w:t>
      </w:r>
      <w:hyperlink r:id="rId24" w:tgtFrame="_blank" w:history="1">
        <w:r w:rsidRPr="005D4FAA">
          <w:rPr>
            <w:rStyle w:val="Hyperlink"/>
          </w:rPr>
          <w:t>definition of IAT Entries</w:t>
        </w:r>
      </w:hyperlink>
      <w:r w:rsidRPr="005D4FAA">
        <w:t xml:space="preserve">, </w:t>
      </w:r>
      <w:hyperlink r:id="rId25" w:tgtFrame="_blank" w:history="1">
        <w:r w:rsidRPr="005D4FAA">
          <w:rPr>
            <w:rStyle w:val="Hyperlink"/>
          </w:rPr>
          <w:t>funds availability requirements for non-same-day credit entries</w:t>
        </w:r>
      </w:hyperlink>
      <w:r w:rsidRPr="005D4FAA">
        <w:t xml:space="preserve">, and </w:t>
      </w:r>
      <w:hyperlink r:id="rId26" w:tgtFrame="_blank" w:history="1">
        <w:r w:rsidRPr="005D4FAA">
          <w:rPr>
            <w:rStyle w:val="Hyperlink"/>
          </w:rPr>
          <w:t>fraud monitoring</w:t>
        </w:r>
      </w:hyperlink>
      <w:r w:rsidRPr="005D4FAA">
        <w:t>.</w:t>
      </w:r>
      <w:r>
        <w:t xml:space="preserve"> </w:t>
      </w:r>
      <w:r w:rsidRPr="002D09C7">
        <w:rPr>
          <w:b/>
          <w:bCs/>
          <w:color w:val="EE0000"/>
        </w:rPr>
        <w:t>(Re</w:t>
      </w:r>
      <w:r>
        <w:rPr>
          <w:b/>
          <w:bCs/>
          <w:color w:val="EE0000"/>
        </w:rPr>
        <w:t>quired</w:t>
      </w:r>
      <w:r w:rsidRPr="002D09C7">
        <w:rPr>
          <w:b/>
          <w:bCs/>
          <w:color w:val="EE0000"/>
        </w:rPr>
        <w:t>)</w:t>
      </w:r>
      <w:r w:rsidR="009C0EB1">
        <w:rPr>
          <w:b/>
          <w:bCs/>
          <w:color w:val="EE0000"/>
        </w:rPr>
        <w:br/>
      </w:r>
    </w:p>
    <w:p w14:paraId="7CF45206" w14:textId="41159B09" w:rsidR="008A76E4" w:rsidRDefault="00AA41C1" w:rsidP="009C0EB1">
      <w:pPr>
        <w:spacing w:after="0" w:line="240" w:lineRule="auto"/>
        <w:rPr>
          <w:b/>
          <w:bCs/>
          <w:i/>
          <w:iCs/>
        </w:rPr>
      </w:pPr>
      <w:r>
        <w:rPr>
          <w:b/>
          <w:bCs/>
          <w:i/>
          <w:iCs/>
        </w:rPr>
        <w:t xml:space="preserve">7302 – Real Estate </w:t>
      </w:r>
      <w:r w:rsidR="00364354">
        <w:rPr>
          <w:b/>
          <w:bCs/>
          <w:i/>
          <w:iCs/>
        </w:rPr>
        <w:t>Appraisal</w:t>
      </w:r>
      <w:r w:rsidR="00FA6DBF">
        <w:rPr>
          <w:b/>
          <w:bCs/>
          <w:i/>
          <w:iCs/>
        </w:rPr>
        <w:t>s</w:t>
      </w:r>
    </w:p>
    <w:p w14:paraId="1FDF14BC" w14:textId="77777777" w:rsidR="00366922" w:rsidRPr="00397CE2" w:rsidRDefault="00366922" w:rsidP="00366922">
      <w:pPr>
        <w:spacing w:after="0"/>
        <w:rPr>
          <w:b/>
          <w:bCs/>
          <w:i/>
          <w:iCs/>
        </w:rPr>
      </w:pPr>
      <w:r w:rsidRPr="00397CE2">
        <w:rPr>
          <w:b/>
          <w:bCs/>
          <w:i/>
          <w:iCs/>
        </w:rPr>
        <w:t xml:space="preserve">Revised </w:t>
      </w:r>
      <w:r>
        <w:rPr>
          <w:b/>
          <w:bCs/>
          <w:i/>
          <w:iCs/>
        </w:rPr>
        <w:t>December</w:t>
      </w:r>
      <w:r w:rsidRPr="00397CE2">
        <w:rPr>
          <w:b/>
          <w:bCs/>
          <w:i/>
          <w:iCs/>
        </w:rPr>
        <w:t xml:space="preserve"> 2025</w:t>
      </w:r>
    </w:p>
    <w:p w14:paraId="0E4C4AD2" w14:textId="1D738F33" w:rsidR="00366922" w:rsidRPr="00FA6DBF" w:rsidRDefault="00FA6DBF" w:rsidP="009C0EB1">
      <w:pPr>
        <w:spacing w:after="0" w:line="240" w:lineRule="auto"/>
      </w:pPr>
      <w:r w:rsidRPr="00FA6DBF">
        <w:t xml:space="preserve">This policy was revised to reflect the </w:t>
      </w:r>
      <w:r>
        <w:t>higher-priced</w:t>
      </w:r>
      <w:r w:rsidRPr="00FA6DBF">
        <w:t xml:space="preserve"> mortgage loan appraisal exemption threshold. The </w:t>
      </w:r>
      <w:hyperlink r:id="rId27" w:history="1">
        <w:r w:rsidRPr="00FA6DBF">
          <w:rPr>
            <w:rStyle w:val="Hyperlink"/>
          </w:rPr>
          <w:t>threshold changes each year based on the consumer price index</w:t>
        </w:r>
      </w:hyperlink>
      <w:r w:rsidRPr="00FA6DBF">
        <w:t xml:space="preserve"> and increased to $34,200 for 2026.   </w:t>
      </w:r>
      <w:r w:rsidRPr="009D47A5">
        <w:rPr>
          <w:b/>
          <w:bCs/>
          <w:color w:val="EE0000"/>
        </w:rPr>
        <w:t>(Required) </w:t>
      </w:r>
    </w:p>
    <w:p w14:paraId="75EBA6AB" w14:textId="77777777" w:rsidR="00AA41C1" w:rsidRDefault="00AA41C1" w:rsidP="009C0EB1">
      <w:pPr>
        <w:spacing w:after="0" w:line="240" w:lineRule="auto"/>
        <w:rPr>
          <w:b/>
          <w:bCs/>
          <w:i/>
          <w:iCs/>
        </w:rPr>
      </w:pPr>
    </w:p>
    <w:p w14:paraId="1C6C43CD" w14:textId="249E39C4" w:rsidR="00AA41C1" w:rsidRDefault="00AA41C1" w:rsidP="009C0EB1">
      <w:pPr>
        <w:spacing w:after="0" w:line="240" w:lineRule="auto"/>
        <w:rPr>
          <w:b/>
          <w:bCs/>
          <w:i/>
          <w:iCs/>
        </w:rPr>
      </w:pPr>
      <w:r>
        <w:rPr>
          <w:b/>
          <w:bCs/>
          <w:i/>
          <w:iCs/>
        </w:rPr>
        <w:t>7350 – Ability to Repay</w:t>
      </w:r>
    </w:p>
    <w:p w14:paraId="31F08799" w14:textId="77777777" w:rsidR="00366922" w:rsidRDefault="00366922" w:rsidP="00366922">
      <w:pPr>
        <w:spacing w:after="0"/>
        <w:rPr>
          <w:b/>
          <w:bCs/>
          <w:i/>
          <w:iCs/>
        </w:rPr>
      </w:pPr>
      <w:r w:rsidRPr="00397CE2">
        <w:rPr>
          <w:b/>
          <w:bCs/>
          <w:i/>
          <w:iCs/>
        </w:rPr>
        <w:t xml:space="preserve">Revised </w:t>
      </w:r>
      <w:r>
        <w:rPr>
          <w:b/>
          <w:bCs/>
          <w:i/>
          <w:iCs/>
        </w:rPr>
        <w:t>December</w:t>
      </w:r>
      <w:r w:rsidRPr="00397CE2">
        <w:rPr>
          <w:b/>
          <w:bCs/>
          <w:i/>
          <w:iCs/>
        </w:rPr>
        <w:t xml:space="preserve"> 2025</w:t>
      </w:r>
    </w:p>
    <w:p w14:paraId="36D3DA12" w14:textId="66DB0952" w:rsidR="009D47A5" w:rsidRPr="009D47A5" w:rsidRDefault="009D47A5" w:rsidP="00366922">
      <w:pPr>
        <w:spacing w:after="0"/>
      </w:pPr>
      <w:r w:rsidRPr="009D47A5">
        <w:t xml:space="preserve">Policy 7350 was revised to comply with the annual changes made to the </w:t>
      </w:r>
      <w:hyperlink r:id="rId28" w:history="1">
        <w:r w:rsidRPr="009D47A5">
          <w:rPr>
            <w:rStyle w:val="Hyperlink"/>
          </w:rPr>
          <w:t>points and fee</w:t>
        </w:r>
        <w:r w:rsidR="00A8047E">
          <w:rPr>
            <w:rStyle w:val="Hyperlink"/>
          </w:rPr>
          <w:t>s</w:t>
        </w:r>
        <w:r w:rsidRPr="009D47A5">
          <w:rPr>
            <w:rStyle w:val="Hyperlink"/>
          </w:rPr>
          <w:t xml:space="preserve"> thresholds</w:t>
        </w:r>
      </w:hyperlink>
      <w:r w:rsidRPr="009D47A5">
        <w:t xml:space="preserve"> to determine if a mortgage is considered a qualified mortgage </w:t>
      </w:r>
      <w:r w:rsidR="00270A88">
        <w:t xml:space="preserve">and the </w:t>
      </w:r>
      <w:hyperlink r:id="rId29" w:history="1">
        <w:r w:rsidR="00270A88" w:rsidRPr="00270A88">
          <w:rPr>
            <w:rStyle w:val="Hyperlink"/>
          </w:rPr>
          <w:t xml:space="preserve">General Qualified Mortgage loan definition </w:t>
        </w:r>
        <w:r w:rsidR="00A8047E">
          <w:rPr>
            <w:rStyle w:val="Hyperlink"/>
          </w:rPr>
          <w:t xml:space="preserve">pricing </w:t>
        </w:r>
        <w:r w:rsidR="00270A88" w:rsidRPr="00270A88">
          <w:rPr>
            <w:rStyle w:val="Hyperlink"/>
          </w:rPr>
          <w:t>thresholds</w:t>
        </w:r>
      </w:hyperlink>
      <w:r w:rsidRPr="009D47A5">
        <w:t>, based on the Consumer Price Index. These changes become effective on January 1, 2026.</w:t>
      </w:r>
      <w:r w:rsidRPr="009D47A5">
        <w:rPr>
          <w:color w:val="EE0000"/>
        </w:rPr>
        <w:t> </w:t>
      </w:r>
      <w:r w:rsidRPr="009D47A5">
        <w:rPr>
          <w:b/>
          <w:bCs/>
          <w:color w:val="EE0000"/>
        </w:rPr>
        <w:t>(Required)</w:t>
      </w:r>
    </w:p>
    <w:p w14:paraId="509EC20B" w14:textId="77777777" w:rsidR="00AA41C1" w:rsidRDefault="00AA41C1" w:rsidP="009C0EB1">
      <w:pPr>
        <w:spacing w:after="0" w:line="240" w:lineRule="auto"/>
        <w:rPr>
          <w:b/>
          <w:bCs/>
          <w:i/>
          <w:iCs/>
        </w:rPr>
      </w:pPr>
    </w:p>
    <w:p w14:paraId="590297B2" w14:textId="65251CCB" w:rsidR="00AA41C1" w:rsidRDefault="00AA41C1" w:rsidP="009C0EB1">
      <w:pPr>
        <w:spacing w:after="0" w:line="240" w:lineRule="auto"/>
        <w:rPr>
          <w:b/>
          <w:bCs/>
          <w:i/>
          <w:iCs/>
        </w:rPr>
      </w:pPr>
      <w:r>
        <w:rPr>
          <w:b/>
          <w:bCs/>
          <w:i/>
          <w:iCs/>
        </w:rPr>
        <w:t>7351</w:t>
      </w:r>
      <w:r w:rsidR="00BA02E1">
        <w:rPr>
          <w:b/>
          <w:bCs/>
          <w:i/>
          <w:iCs/>
        </w:rPr>
        <w:t xml:space="preserve"> – Small Creditor Ability to Repay</w:t>
      </w:r>
    </w:p>
    <w:p w14:paraId="1F7CF8E4" w14:textId="5C1A4359" w:rsidR="00BA02E1" w:rsidRDefault="00BB68E5" w:rsidP="009C0EB1">
      <w:pPr>
        <w:spacing w:after="0" w:line="240" w:lineRule="auto"/>
        <w:rPr>
          <w:b/>
          <w:bCs/>
          <w:i/>
          <w:iCs/>
        </w:rPr>
      </w:pPr>
      <w:r w:rsidRPr="00BB68E5">
        <w:rPr>
          <w:b/>
          <w:bCs/>
          <w:i/>
          <w:iCs/>
          <w:highlight w:val="yellow"/>
        </w:rPr>
        <w:t>Revisions Pending CFPB Publication of small creditor asset size threshold.</w:t>
      </w:r>
    </w:p>
    <w:p w14:paraId="6F6EFB35" w14:textId="77777777" w:rsidR="00364354" w:rsidRDefault="00364354" w:rsidP="009C0EB1">
      <w:pPr>
        <w:spacing w:after="0" w:line="240" w:lineRule="auto"/>
        <w:rPr>
          <w:b/>
          <w:bCs/>
          <w:i/>
          <w:iCs/>
        </w:rPr>
      </w:pPr>
    </w:p>
    <w:p w14:paraId="3E1D6F42" w14:textId="7A721A52" w:rsidR="00364354" w:rsidRDefault="00364354" w:rsidP="009C0EB1">
      <w:pPr>
        <w:spacing w:after="0" w:line="240" w:lineRule="auto"/>
        <w:rPr>
          <w:b/>
          <w:bCs/>
          <w:i/>
          <w:iCs/>
        </w:rPr>
      </w:pPr>
      <w:r>
        <w:rPr>
          <w:b/>
          <w:bCs/>
          <w:i/>
          <w:iCs/>
        </w:rPr>
        <w:t>7370 – HOEPA Rule Requirements</w:t>
      </w:r>
    </w:p>
    <w:p w14:paraId="46E6A508" w14:textId="77777777" w:rsidR="00366922" w:rsidRDefault="00366922" w:rsidP="00366922">
      <w:pPr>
        <w:spacing w:after="0"/>
        <w:rPr>
          <w:b/>
          <w:bCs/>
          <w:i/>
          <w:iCs/>
        </w:rPr>
      </w:pPr>
      <w:r w:rsidRPr="00397CE2">
        <w:rPr>
          <w:b/>
          <w:bCs/>
          <w:i/>
          <w:iCs/>
        </w:rPr>
        <w:t xml:space="preserve">Revised </w:t>
      </w:r>
      <w:r>
        <w:rPr>
          <w:b/>
          <w:bCs/>
          <w:i/>
          <w:iCs/>
        </w:rPr>
        <w:t>December</w:t>
      </w:r>
      <w:r w:rsidRPr="00397CE2">
        <w:rPr>
          <w:b/>
          <w:bCs/>
          <w:i/>
          <w:iCs/>
        </w:rPr>
        <w:t xml:space="preserve"> 2025</w:t>
      </w:r>
    </w:p>
    <w:p w14:paraId="6FD012B1" w14:textId="089BAE1A" w:rsidR="00B6218A" w:rsidRPr="00397CE2" w:rsidRDefault="00B6218A" w:rsidP="00366922">
      <w:pPr>
        <w:spacing w:after="0"/>
        <w:rPr>
          <w:b/>
          <w:bCs/>
          <w:i/>
          <w:iCs/>
        </w:rPr>
      </w:pPr>
      <w:r w:rsidRPr="00B6218A">
        <w:t xml:space="preserve">The </w:t>
      </w:r>
      <w:r w:rsidR="00746401">
        <w:t xml:space="preserve">points and fees </w:t>
      </w:r>
      <w:hyperlink r:id="rId30" w:tgtFrame="_blank" w:history="1">
        <w:r w:rsidRPr="00B6218A">
          <w:rPr>
            <w:rStyle w:val="Hyperlink"/>
          </w:rPr>
          <w:t>thresholds for determining if a loan is covered under HOEPA</w:t>
        </w:r>
      </w:hyperlink>
      <w:r w:rsidRPr="00B6218A">
        <w:t xml:space="preserve"> were also adjusted for January 1, 2026</w:t>
      </w:r>
      <w:r>
        <w:t>,</w:t>
      </w:r>
      <w:r w:rsidRPr="00B6218A">
        <w:t xml:space="preserve"> and these amounts were updated in the policy accordingly. </w:t>
      </w:r>
      <w:r w:rsidRPr="00B6218A">
        <w:rPr>
          <w:b/>
          <w:bCs/>
          <w:color w:val="EE0000"/>
        </w:rPr>
        <w:t>(Required)</w:t>
      </w:r>
    </w:p>
    <w:p w14:paraId="7AF83154" w14:textId="77777777" w:rsidR="00364354" w:rsidRDefault="00364354" w:rsidP="009C0EB1">
      <w:pPr>
        <w:spacing w:after="0" w:line="240" w:lineRule="auto"/>
        <w:rPr>
          <w:b/>
          <w:bCs/>
          <w:i/>
          <w:iCs/>
        </w:rPr>
      </w:pPr>
    </w:p>
    <w:p w14:paraId="377BD653" w14:textId="7CC13518" w:rsidR="00133D81" w:rsidRPr="00AA41C1" w:rsidRDefault="00133D81" w:rsidP="00133D81">
      <w:pPr>
        <w:spacing w:after="0" w:line="240" w:lineRule="auto"/>
        <w:rPr>
          <w:b/>
          <w:bCs/>
          <w:i/>
          <w:iCs/>
          <w:caps/>
        </w:rPr>
      </w:pPr>
      <w:r>
        <w:rPr>
          <w:b/>
          <w:bCs/>
          <w:i/>
          <w:iCs/>
        </w:rPr>
        <w:t>9200 – Home Mortgage Disclosure Act</w:t>
      </w:r>
    </w:p>
    <w:p w14:paraId="3A72E33B" w14:textId="18525D18" w:rsidR="00133D81" w:rsidRDefault="00133D81" w:rsidP="009C0EB1">
      <w:pPr>
        <w:spacing w:after="0" w:line="240" w:lineRule="auto"/>
        <w:rPr>
          <w:b/>
          <w:bCs/>
          <w:i/>
          <w:iCs/>
        </w:rPr>
      </w:pPr>
      <w:r w:rsidRPr="00BB68E5">
        <w:rPr>
          <w:b/>
          <w:bCs/>
          <w:i/>
          <w:iCs/>
          <w:highlight w:val="yellow"/>
        </w:rPr>
        <w:t>Revisions Pending CFPB Publication of asset size threshold.</w:t>
      </w:r>
    </w:p>
    <w:p w14:paraId="3E03EBDA" w14:textId="77777777" w:rsidR="00133D81" w:rsidRDefault="00133D81" w:rsidP="009C0EB1">
      <w:pPr>
        <w:spacing w:after="0" w:line="240" w:lineRule="auto"/>
        <w:rPr>
          <w:b/>
          <w:bCs/>
          <w:i/>
          <w:iCs/>
        </w:rPr>
      </w:pPr>
    </w:p>
    <w:p w14:paraId="198C671B" w14:textId="64842ECA" w:rsidR="00364354" w:rsidRPr="00AA41C1" w:rsidRDefault="00364354" w:rsidP="009C0EB1">
      <w:pPr>
        <w:spacing w:after="0" w:line="240" w:lineRule="auto"/>
        <w:rPr>
          <w:b/>
          <w:bCs/>
          <w:i/>
          <w:iCs/>
          <w:caps/>
        </w:rPr>
      </w:pPr>
      <w:r>
        <w:rPr>
          <w:b/>
          <w:bCs/>
          <w:i/>
          <w:iCs/>
        </w:rPr>
        <w:t>9220 – Home Ownership Equity Protection Act</w:t>
      </w:r>
    </w:p>
    <w:p w14:paraId="11286EC1" w14:textId="77777777" w:rsidR="00366922" w:rsidRDefault="00366922" w:rsidP="00366922">
      <w:pPr>
        <w:spacing w:after="0"/>
        <w:rPr>
          <w:b/>
          <w:bCs/>
          <w:i/>
          <w:iCs/>
        </w:rPr>
      </w:pPr>
      <w:r w:rsidRPr="00397CE2">
        <w:rPr>
          <w:b/>
          <w:bCs/>
          <w:i/>
          <w:iCs/>
        </w:rPr>
        <w:t xml:space="preserve">Revised </w:t>
      </w:r>
      <w:r>
        <w:rPr>
          <w:b/>
          <w:bCs/>
          <w:i/>
          <w:iCs/>
        </w:rPr>
        <w:t>December</w:t>
      </w:r>
      <w:r w:rsidRPr="00397CE2">
        <w:rPr>
          <w:b/>
          <w:bCs/>
          <w:i/>
          <w:iCs/>
        </w:rPr>
        <w:t xml:space="preserve"> 2025</w:t>
      </w:r>
    </w:p>
    <w:p w14:paraId="34D43E89" w14:textId="39EAA9C6" w:rsidR="00507B2E" w:rsidRPr="00507B2E" w:rsidRDefault="00507B2E" w:rsidP="00366922">
      <w:pPr>
        <w:spacing w:after="0"/>
      </w:pPr>
      <w:r>
        <w:t xml:space="preserve">Similar to changes made to Policy 7370, this policy was also revised to adjust the </w:t>
      </w:r>
      <w:r w:rsidR="00137CBD">
        <w:t xml:space="preserve">points and fees </w:t>
      </w:r>
      <w:hyperlink r:id="rId31" w:history="1">
        <w:r w:rsidRPr="00507B2E">
          <w:rPr>
            <w:rStyle w:val="Hyperlink"/>
          </w:rPr>
          <w:t>thresholds for determining if a loan is covered under HOEPA</w:t>
        </w:r>
      </w:hyperlink>
      <w:r>
        <w:t xml:space="preserve">, effective January 1, 2026. </w:t>
      </w:r>
      <w:r w:rsidRPr="009C0EB1">
        <w:rPr>
          <w:color w:val="EE0000"/>
        </w:rPr>
        <w:t>(</w:t>
      </w:r>
      <w:r w:rsidRPr="009C0EB1">
        <w:rPr>
          <w:b/>
          <w:bCs/>
          <w:color w:val="EE0000"/>
        </w:rPr>
        <w:t>Required</w:t>
      </w:r>
      <w:r w:rsidRPr="009C0EB1">
        <w:rPr>
          <w:color w:val="EE0000"/>
        </w:rPr>
        <w:t>)</w:t>
      </w:r>
    </w:p>
    <w:p w14:paraId="26859590" w14:textId="77777777" w:rsidR="008A76E4" w:rsidRDefault="008A76E4" w:rsidP="009C0EB1">
      <w:pPr>
        <w:spacing w:after="0" w:line="240" w:lineRule="auto"/>
        <w:rPr>
          <w:b/>
          <w:bCs/>
          <w:i/>
          <w:iCs/>
        </w:rPr>
      </w:pPr>
    </w:p>
    <w:p w14:paraId="14FDF0A2" w14:textId="43FB9B67" w:rsidR="000F33C2" w:rsidRPr="00273C11" w:rsidRDefault="00AD084A" w:rsidP="009C0EB1">
      <w:pPr>
        <w:spacing w:after="0" w:line="240" w:lineRule="auto"/>
        <w:rPr>
          <w:b/>
          <w:bCs/>
          <w:i/>
          <w:iCs/>
        </w:rPr>
      </w:pPr>
      <w:r w:rsidRPr="00273C11">
        <w:rPr>
          <w:b/>
          <w:bCs/>
          <w:i/>
          <w:iCs/>
        </w:rPr>
        <w:t xml:space="preserve">9420 </w:t>
      </w:r>
      <w:r w:rsidR="009C0EB1" w:rsidRPr="00273C11">
        <w:rPr>
          <w:b/>
          <w:bCs/>
          <w:i/>
          <w:iCs/>
        </w:rPr>
        <w:t>–</w:t>
      </w:r>
      <w:r w:rsidRPr="00273C11">
        <w:rPr>
          <w:b/>
          <w:bCs/>
          <w:i/>
          <w:iCs/>
        </w:rPr>
        <w:t xml:space="preserve"> </w:t>
      </w:r>
      <w:r w:rsidR="009C0EB1" w:rsidRPr="00273C11">
        <w:rPr>
          <w:b/>
          <w:bCs/>
          <w:i/>
          <w:iCs/>
        </w:rPr>
        <w:t>Regulation D – Monetary Control Act</w:t>
      </w:r>
    </w:p>
    <w:p w14:paraId="42821905" w14:textId="295419DF" w:rsidR="009C0EB1" w:rsidRPr="00273C11" w:rsidRDefault="009C0EB1" w:rsidP="009C0EB1">
      <w:pPr>
        <w:spacing w:after="0" w:line="240" w:lineRule="auto"/>
        <w:rPr>
          <w:b/>
          <w:bCs/>
          <w:i/>
          <w:iCs/>
        </w:rPr>
      </w:pPr>
      <w:r w:rsidRPr="00273C11">
        <w:rPr>
          <w:b/>
          <w:bCs/>
          <w:i/>
          <w:iCs/>
        </w:rPr>
        <w:t>Revised December 2025</w:t>
      </w:r>
    </w:p>
    <w:p w14:paraId="1C8DEA13" w14:textId="77777777" w:rsidR="009C0EB1" w:rsidRPr="009C0EB1" w:rsidRDefault="009C0EB1" w:rsidP="009C0EB1">
      <w:pPr>
        <w:spacing w:after="0" w:line="240" w:lineRule="auto"/>
      </w:pPr>
      <w:r w:rsidRPr="009C0EB1">
        <w:t xml:space="preserve">Even though the reserve requirements are still set at zero, the </w:t>
      </w:r>
      <w:hyperlink r:id="rId32" w:tgtFrame="_blank" w:history="1">
        <w:r w:rsidRPr="009C0EB1">
          <w:rPr>
            <w:rStyle w:val="Hyperlink"/>
          </w:rPr>
          <w:t>reserve requirements threshold</w:t>
        </w:r>
      </w:hyperlink>
      <w:r w:rsidRPr="009C0EB1">
        <w:t xml:space="preserve"> amounts are updated each year. These changes are now reflected within the policy.</w:t>
      </w:r>
      <w:r w:rsidRPr="009C0EB1">
        <w:rPr>
          <w:color w:val="EE0000"/>
        </w:rPr>
        <w:t xml:space="preserve"> (</w:t>
      </w:r>
      <w:r w:rsidRPr="009C0EB1">
        <w:rPr>
          <w:b/>
          <w:bCs/>
          <w:color w:val="EE0000"/>
        </w:rPr>
        <w:t>Required</w:t>
      </w:r>
      <w:r w:rsidRPr="009C0EB1">
        <w:rPr>
          <w:color w:val="EE0000"/>
        </w:rPr>
        <w:t>)</w:t>
      </w:r>
    </w:p>
    <w:p w14:paraId="080423B8" w14:textId="77777777" w:rsidR="009C0EB1" w:rsidRDefault="009C0EB1" w:rsidP="003C77A4"/>
    <w:sectPr w:rsidR="009C0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3C16"/>
    <w:multiLevelType w:val="multilevel"/>
    <w:tmpl w:val="C7DE4260"/>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1F534B1"/>
    <w:multiLevelType w:val="multilevel"/>
    <w:tmpl w:val="49280034"/>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1964B85"/>
    <w:multiLevelType w:val="hybridMultilevel"/>
    <w:tmpl w:val="06068E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12166">
    <w:abstractNumId w:val="1"/>
  </w:num>
  <w:num w:numId="2" w16cid:durableId="1636369510">
    <w:abstractNumId w:val="0"/>
  </w:num>
  <w:num w:numId="3" w16cid:durableId="67506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D4"/>
    <w:rsid w:val="00004818"/>
    <w:rsid w:val="00024255"/>
    <w:rsid w:val="000242FA"/>
    <w:rsid w:val="0004104F"/>
    <w:rsid w:val="0004398C"/>
    <w:rsid w:val="000738C1"/>
    <w:rsid w:val="00093241"/>
    <w:rsid w:val="00095FC9"/>
    <w:rsid w:val="000C1B18"/>
    <w:rsid w:val="000F33C2"/>
    <w:rsid w:val="00110838"/>
    <w:rsid w:val="00110BAD"/>
    <w:rsid w:val="001308FD"/>
    <w:rsid w:val="00132015"/>
    <w:rsid w:val="00133D81"/>
    <w:rsid w:val="00137CBD"/>
    <w:rsid w:val="001546DC"/>
    <w:rsid w:val="00173C9F"/>
    <w:rsid w:val="001A1BD8"/>
    <w:rsid w:val="001B6AFB"/>
    <w:rsid w:val="001F705C"/>
    <w:rsid w:val="00200AE8"/>
    <w:rsid w:val="0020199E"/>
    <w:rsid w:val="002114D4"/>
    <w:rsid w:val="002579C8"/>
    <w:rsid w:val="002650A3"/>
    <w:rsid w:val="00270A88"/>
    <w:rsid w:val="00273C11"/>
    <w:rsid w:val="0029196E"/>
    <w:rsid w:val="002D09C7"/>
    <w:rsid w:val="002E7C75"/>
    <w:rsid w:val="00316155"/>
    <w:rsid w:val="00325028"/>
    <w:rsid w:val="00343304"/>
    <w:rsid w:val="00355F58"/>
    <w:rsid w:val="00362567"/>
    <w:rsid w:val="00364354"/>
    <w:rsid w:val="00366922"/>
    <w:rsid w:val="00381E9E"/>
    <w:rsid w:val="00383B65"/>
    <w:rsid w:val="0039068F"/>
    <w:rsid w:val="00397CE2"/>
    <w:rsid w:val="003B49A5"/>
    <w:rsid w:val="003C77A4"/>
    <w:rsid w:val="003D4A99"/>
    <w:rsid w:val="003F29FC"/>
    <w:rsid w:val="0049403B"/>
    <w:rsid w:val="00495F52"/>
    <w:rsid w:val="00496317"/>
    <w:rsid w:val="004C3293"/>
    <w:rsid w:val="004E6E7C"/>
    <w:rsid w:val="004F1C8C"/>
    <w:rsid w:val="004F2F86"/>
    <w:rsid w:val="00507B2E"/>
    <w:rsid w:val="00512DD3"/>
    <w:rsid w:val="00517195"/>
    <w:rsid w:val="00576011"/>
    <w:rsid w:val="005A68ED"/>
    <w:rsid w:val="005C4D8E"/>
    <w:rsid w:val="005D4FAA"/>
    <w:rsid w:val="005F529E"/>
    <w:rsid w:val="0061502A"/>
    <w:rsid w:val="00666309"/>
    <w:rsid w:val="006A6EDC"/>
    <w:rsid w:val="006B0B81"/>
    <w:rsid w:val="006D4BBD"/>
    <w:rsid w:val="006E405B"/>
    <w:rsid w:val="00702225"/>
    <w:rsid w:val="00717546"/>
    <w:rsid w:val="00735B0C"/>
    <w:rsid w:val="00746401"/>
    <w:rsid w:val="00775B54"/>
    <w:rsid w:val="007964A2"/>
    <w:rsid w:val="007B3EA2"/>
    <w:rsid w:val="007B4FE2"/>
    <w:rsid w:val="007E58EE"/>
    <w:rsid w:val="007E67B3"/>
    <w:rsid w:val="00805532"/>
    <w:rsid w:val="0080678C"/>
    <w:rsid w:val="008126F1"/>
    <w:rsid w:val="00825CD6"/>
    <w:rsid w:val="00836527"/>
    <w:rsid w:val="008477A8"/>
    <w:rsid w:val="008479D5"/>
    <w:rsid w:val="00890A5C"/>
    <w:rsid w:val="008A76E4"/>
    <w:rsid w:val="008C656A"/>
    <w:rsid w:val="008E41B3"/>
    <w:rsid w:val="0090166C"/>
    <w:rsid w:val="009210AF"/>
    <w:rsid w:val="00921FA7"/>
    <w:rsid w:val="009242F7"/>
    <w:rsid w:val="00927143"/>
    <w:rsid w:val="009356ED"/>
    <w:rsid w:val="00953A5F"/>
    <w:rsid w:val="00963096"/>
    <w:rsid w:val="00987EF7"/>
    <w:rsid w:val="00991A35"/>
    <w:rsid w:val="009C0EB1"/>
    <w:rsid w:val="009D47A5"/>
    <w:rsid w:val="009E03C0"/>
    <w:rsid w:val="009E1B8F"/>
    <w:rsid w:val="00A018B8"/>
    <w:rsid w:val="00A0454C"/>
    <w:rsid w:val="00A05E35"/>
    <w:rsid w:val="00A32616"/>
    <w:rsid w:val="00A5712F"/>
    <w:rsid w:val="00A632FB"/>
    <w:rsid w:val="00A666C6"/>
    <w:rsid w:val="00A8027D"/>
    <w:rsid w:val="00A8047E"/>
    <w:rsid w:val="00AA41C1"/>
    <w:rsid w:val="00AC1275"/>
    <w:rsid w:val="00AC1561"/>
    <w:rsid w:val="00AC7576"/>
    <w:rsid w:val="00AD084A"/>
    <w:rsid w:val="00AD3731"/>
    <w:rsid w:val="00AD408E"/>
    <w:rsid w:val="00AD7988"/>
    <w:rsid w:val="00AE670E"/>
    <w:rsid w:val="00AE6FCA"/>
    <w:rsid w:val="00AF2104"/>
    <w:rsid w:val="00AF301C"/>
    <w:rsid w:val="00B16F7F"/>
    <w:rsid w:val="00B564E8"/>
    <w:rsid w:val="00B6218A"/>
    <w:rsid w:val="00B72292"/>
    <w:rsid w:val="00B9319B"/>
    <w:rsid w:val="00BA02E1"/>
    <w:rsid w:val="00BA5EF1"/>
    <w:rsid w:val="00BB68E5"/>
    <w:rsid w:val="00BC5F91"/>
    <w:rsid w:val="00C22852"/>
    <w:rsid w:val="00C5488D"/>
    <w:rsid w:val="00C62C55"/>
    <w:rsid w:val="00C713E7"/>
    <w:rsid w:val="00C845E5"/>
    <w:rsid w:val="00CD151F"/>
    <w:rsid w:val="00D57684"/>
    <w:rsid w:val="00D879FC"/>
    <w:rsid w:val="00DD78CA"/>
    <w:rsid w:val="00DE0D5F"/>
    <w:rsid w:val="00E64E86"/>
    <w:rsid w:val="00E762E4"/>
    <w:rsid w:val="00E902B1"/>
    <w:rsid w:val="00EB2633"/>
    <w:rsid w:val="00EC0456"/>
    <w:rsid w:val="00EC6668"/>
    <w:rsid w:val="00F03053"/>
    <w:rsid w:val="00F04250"/>
    <w:rsid w:val="00F12035"/>
    <w:rsid w:val="00F3145D"/>
    <w:rsid w:val="00F8379B"/>
    <w:rsid w:val="00F861E2"/>
    <w:rsid w:val="00FA6DBF"/>
    <w:rsid w:val="00FC580D"/>
    <w:rsid w:val="00FE25DC"/>
    <w:rsid w:val="00FE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7F5A0"/>
  <w15:chartTrackingRefBased/>
  <w15:docId w15:val="{CCAB2E00-6572-4F62-8563-918FA9CE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4D4"/>
    <w:rPr>
      <w:rFonts w:eastAsiaTheme="majorEastAsia" w:cstheme="majorBidi"/>
      <w:color w:val="272727" w:themeColor="text1" w:themeTint="D8"/>
    </w:rPr>
  </w:style>
  <w:style w:type="paragraph" w:styleId="Title">
    <w:name w:val="Title"/>
    <w:basedOn w:val="Normal"/>
    <w:next w:val="Normal"/>
    <w:link w:val="TitleChar"/>
    <w:uiPriority w:val="10"/>
    <w:qFormat/>
    <w:rsid w:val="0021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4D4"/>
    <w:pPr>
      <w:spacing w:before="160"/>
      <w:jc w:val="center"/>
    </w:pPr>
    <w:rPr>
      <w:i/>
      <w:iCs/>
      <w:color w:val="404040" w:themeColor="text1" w:themeTint="BF"/>
    </w:rPr>
  </w:style>
  <w:style w:type="character" w:customStyle="1" w:styleId="QuoteChar">
    <w:name w:val="Quote Char"/>
    <w:basedOn w:val="DefaultParagraphFont"/>
    <w:link w:val="Quote"/>
    <w:uiPriority w:val="29"/>
    <w:rsid w:val="002114D4"/>
    <w:rPr>
      <w:i/>
      <w:iCs/>
      <w:color w:val="404040" w:themeColor="text1" w:themeTint="BF"/>
    </w:rPr>
  </w:style>
  <w:style w:type="paragraph" w:styleId="ListParagraph">
    <w:name w:val="List Paragraph"/>
    <w:basedOn w:val="Normal"/>
    <w:uiPriority w:val="34"/>
    <w:qFormat/>
    <w:rsid w:val="002114D4"/>
    <w:pPr>
      <w:ind w:left="720"/>
      <w:contextualSpacing/>
    </w:pPr>
  </w:style>
  <w:style w:type="character" w:styleId="IntenseEmphasis">
    <w:name w:val="Intense Emphasis"/>
    <w:basedOn w:val="DefaultParagraphFont"/>
    <w:uiPriority w:val="21"/>
    <w:qFormat/>
    <w:rsid w:val="002114D4"/>
    <w:rPr>
      <w:i/>
      <w:iCs/>
      <w:color w:val="0F4761" w:themeColor="accent1" w:themeShade="BF"/>
    </w:rPr>
  </w:style>
  <w:style w:type="paragraph" w:styleId="IntenseQuote">
    <w:name w:val="Intense Quote"/>
    <w:basedOn w:val="Normal"/>
    <w:next w:val="Normal"/>
    <w:link w:val="IntenseQuoteChar"/>
    <w:uiPriority w:val="30"/>
    <w:qFormat/>
    <w:rsid w:val="0021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4D4"/>
    <w:rPr>
      <w:i/>
      <w:iCs/>
      <w:color w:val="0F4761" w:themeColor="accent1" w:themeShade="BF"/>
    </w:rPr>
  </w:style>
  <w:style w:type="character" w:styleId="IntenseReference">
    <w:name w:val="Intense Reference"/>
    <w:basedOn w:val="DefaultParagraphFont"/>
    <w:uiPriority w:val="32"/>
    <w:qFormat/>
    <w:rsid w:val="002114D4"/>
    <w:rPr>
      <w:b/>
      <w:bCs/>
      <w:smallCaps/>
      <w:color w:val="0F4761" w:themeColor="accent1" w:themeShade="BF"/>
      <w:spacing w:val="5"/>
    </w:rPr>
  </w:style>
  <w:style w:type="character" w:styleId="Hyperlink">
    <w:name w:val="Hyperlink"/>
    <w:basedOn w:val="DefaultParagraphFont"/>
    <w:uiPriority w:val="99"/>
    <w:unhideWhenUsed/>
    <w:rsid w:val="00E762E4"/>
    <w:rPr>
      <w:color w:val="467886" w:themeColor="hyperlink"/>
      <w:u w:val="single"/>
    </w:rPr>
  </w:style>
  <w:style w:type="character" w:styleId="UnresolvedMention">
    <w:name w:val="Unresolved Mention"/>
    <w:basedOn w:val="DefaultParagraphFont"/>
    <w:uiPriority w:val="99"/>
    <w:semiHidden/>
    <w:unhideWhenUsed/>
    <w:rsid w:val="00E762E4"/>
    <w:rPr>
      <w:color w:val="605E5C"/>
      <w:shd w:val="clear" w:color="auto" w:fill="E1DFDD"/>
    </w:rPr>
  </w:style>
  <w:style w:type="paragraph" w:styleId="Revision">
    <w:name w:val="Revision"/>
    <w:hidden/>
    <w:uiPriority w:val="99"/>
    <w:semiHidden/>
    <w:rsid w:val="00BA5E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documents/2025/12/15/2025-22773/truth-in-lending-regulation-z-annual-threshold-adjustments-credit-cards-hoepa-and-qualified" TargetMode="External"/><Relationship Id="rId18" Type="http://schemas.openxmlformats.org/officeDocument/2006/relationships/hyperlink" Target="https://www.irs.gov/pub/irs-drop/rp-25-19.pdf" TargetMode="External"/><Relationship Id="rId26" Type="http://schemas.openxmlformats.org/officeDocument/2006/relationships/hyperlink" Target="https://www.nacha.org/rules/risk-management-topics-fraud-monitoring-phase-1" TargetMode="External"/><Relationship Id="rId3" Type="http://schemas.openxmlformats.org/officeDocument/2006/relationships/settings" Target="settings.xml"/><Relationship Id="rId21" Type="http://schemas.openxmlformats.org/officeDocument/2006/relationships/hyperlink" Target="https://www.nacha.org/rules/funds-availability-requirements-non-same-day-credit-entries" TargetMode="External"/><Relationship Id="rId34" Type="http://schemas.openxmlformats.org/officeDocument/2006/relationships/theme" Target="theme/theme1.xml"/><Relationship Id="rId7" Type="http://schemas.openxmlformats.org/officeDocument/2006/relationships/hyperlink" Target="https://www.nacha.org/rules/funds-availability-requirements-non-same-day-credit-entries" TargetMode="External"/><Relationship Id="rId12" Type="http://schemas.openxmlformats.org/officeDocument/2006/relationships/hyperlink" Target="https://www.federalregister.gov/documents/2025/12/15/2025-22773/truth-in-lending-regulation-z-annual-threshold-adjustments-credit-cards-hoepa-and-qualified" TargetMode="External"/><Relationship Id="rId17" Type="http://schemas.openxmlformats.org/officeDocument/2006/relationships/hyperlink" Target="https://www.federalregister.gov/documents/2025/11/24/2025-20744/regulation-d-reserve-requirements-of-depository-institutions." TargetMode="External"/><Relationship Id="rId25" Type="http://schemas.openxmlformats.org/officeDocument/2006/relationships/hyperlink" Target="https://www.nacha.org/rules/funds-availability-requirements-non-same-day-credit-entri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rs.gov/pub/irs-drop/rp-25-19.pdf" TargetMode="External"/><Relationship Id="rId20" Type="http://schemas.openxmlformats.org/officeDocument/2006/relationships/hyperlink" Target="https://www.nacha.org/rules/definition-iat-entries" TargetMode="External"/><Relationship Id="rId29" Type="http://schemas.openxmlformats.org/officeDocument/2006/relationships/hyperlink" Target="file:///C:\Users\micha\Downloads\and%20the%20General%20Qualified%20Mortgage%20loan%20definition," TargetMode="External"/><Relationship Id="rId1" Type="http://schemas.openxmlformats.org/officeDocument/2006/relationships/numbering" Target="numbering.xml"/><Relationship Id="rId6" Type="http://schemas.openxmlformats.org/officeDocument/2006/relationships/hyperlink" Target="https://www.nacha.org/rules/definition-iat-entries" TargetMode="External"/><Relationship Id="rId11" Type="http://schemas.openxmlformats.org/officeDocument/2006/relationships/hyperlink" Target="https://www.fhfa.gov/news/news-release/fhfa-announces-conforming-loan-limit-values-for-2026" TargetMode="External"/><Relationship Id="rId24" Type="http://schemas.openxmlformats.org/officeDocument/2006/relationships/hyperlink" Target="https://www.nacha.org/rules/definition-iat-entries" TargetMode="External"/><Relationship Id="rId32" Type="http://schemas.openxmlformats.org/officeDocument/2006/relationships/hyperlink" Target="https://www.federalregister.gov/documents/2025/11/24/2025-20744/regulation-d-reserve-requirements-of-depository-institutions." TargetMode="External"/><Relationship Id="rId5" Type="http://schemas.openxmlformats.org/officeDocument/2006/relationships/hyperlink" Target="https://www.nacha.org/rules/risk-management-topics-company-entry-descriptions" TargetMode="External"/><Relationship Id="rId15" Type="http://schemas.openxmlformats.org/officeDocument/2006/relationships/hyperlink" Target="https://www.federalregister.gov/documents/2025/12/15/2025-22773/truth-in-lending-regulation-z-annual-threshold-adjustments-credit-cards-hoepa-and-qualified" TargetMode="External"/><Relationship Id="rId23" Type="http://schemas.openxmlformats.org/officeDocument/2006/relationships/hyperlink" Target="https://www.nacha.org/rules/risk-management-topics-company-entry-descriptions" TargetMode="External"/><Relationship Id="rId28" Type="http://schemas.openxmlformats.org/officeDocument/2006/relationships/hyperlink" Target="https://www.federalregister.gov/documents/2025/12/15/2025-22773/truth-in-lending-regulation-z-annual-threshold-adjustments-credit-cards-hoepa-and-qualified" TargetMode="External"/><Relationship Id="rId10" Type="http://schemas.openxmlformats.org/officeDocument/2006/relationships/hyperlink" Target="https://www.federalregister.gov/documents/2025/12/15/2025-22814/truth-in-lending-regulation-z" TargetMode="External"/><Relationship Id="rId19" Type="http://schemas.openxmlformats.org/officeDocument/2006/relationships/hyperlink" Target="https://www.nacha.org/rules/risk-management-topics-company-entry-descriptions" TargetMode="External"/><Relationship Id="rId31" Type="http://schemas.openxmlformats.org/officeDocument/2006/relationships/hyperlink" Target="https://www.federalregister.gov/documents/2025/12/15/2025-22773/truth-in-lending-regulation-z-annual-threshold-adjustments-credit-cards-hoepa-and-qualified" TargetMode="External"/><Relationship Id="rId4" Type="http://schemas.openxmlformats.org/officeDocument/2006/relationships/webSettings" Target="webSettings.xml"/><Relationship Id="rId9" Type="http://schemas.openxmlformats.org/officeDocument/2006/relationships/hyperlink" Target="https://www.federalregister.gov/documents/2025/12/15/2025-22814/truth-in-lending-regulation-z" TargetMode="External"/><Relationship Id="rId14" Type="http://schemas.openxmlformats.org/officeDocument/2006/relationships/hyperlink" Target="https://www.federalregister.gov/documents/2025/12/16/2025-22875/appraisals-for-higher-priced-mortgage-loans-exemption-threshold" TargetMode="External"/><Relationship Id="rId22" Type="http://schemas.openxmlformats.org/officeDocument/2006/relationships/hyperlink" Target="https://www.nacha.org/rules/risk-management-topics-fraud-monitoring-phase-1" TargetMode="External"/><Relationship Id="rId27" Type="http://schemas.openxmlformats.org/officeDocument/2006/relationships/hyperlink" Target="https://www.federalregister.gov/documents/2025/12/16/2025-22875/appraisals-for-higher-priced-mortgage-loans-exemption-threshold" TargetMode="External"/><Relationship Id="rId30" Type="http://schemas.openxmlformats.org/officeDocument/2006/relationships/hyperlink" Target="https://www.federalregister.gov/documents/2025/12/15/2025-22773/truth-in-lending-regulation-z-annual-threshold-adjustments-credit-cards-hoepa-and-qualified" TargetMode="External"/><Relationship Id="rId8" Type="http://schemas.openxmlformats.org/officeDocument/2006/relationships/hyperlink" Target="https://www.nacha.org/rules/risk-management-topics-fraud-monitoring-phas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1321</Words>
  <Characters>7365</Characters>
  <Application>Microsoft Office Word</Application>
  <DocSecurity>4</DocSecurity>
  <Lines>197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2026-01-05T19:14:00Z</dcterms:created>
  <dcterms:modified xsi:type="dcterms:W3CDTF">2026-01-05T19:14:00Z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109178d6-931d-468b-8031-1aa92a47fd47</vt:lpwstr>
  </property>
</Properties>
</file>